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2DAC46" w14:textId="77777777" w:rsidR="0072339B" w:rsidRPr="0020123B" w:rsidRDefault="0072339B" w:rsidP="008C7C9D">
      <w:pPr>
        <w:spacing w:before="120" w:after="0" w:line="288" w:lineRule="auto"/>
        <w:jc w:val="center"/>
        <w:outlineLvl w:val="0"/>
        <w:rPr>
          <w:rFonts w:eastAsia="Times New Roman" w:cs="Times New Roman"/>
          <w:b/>
          <w:bCs/>
          <w:kern w:val="36"/>
          <w:szCs w:val="28"/>
          <w14:ligatures w14:val="none"/>
        </w:rPr>
      </w:pPr>
      <w:r w:rsidRPr="0020123B">
        <w:rPr>
          <w:rFonts w:eastAsia="Times New Roman" w:cs="Times New Roman"/>
          <w:b/>
          <w:bCs/>
          <w:kern w:val="36"/>
          <w:szCs w:val="28"/>
          <w14:ligatures w14:val="none"/>
        </w:rPr>
        <w:t>BÁO CÁO</w:t>
      </w:r>
    </w:p>
    <w:p w14:paraId="4566A9D1" w14:textId="3F218DD4" w:rsidR="008C7C9D" w:rsidRPr="008C7C9D" w:rsidRDefault="008C7C9D" w:rsidP="008C7C9D">
      <w:pPr>
        <w:spacing w:before="120" w:after="0" w:line="288" w:lineRule="auto"/>
        <w:jc w:val="center"/>
        <w:rPr>
          <w:rFonts w:eastAsia="Times New Roman" w:cs="Times New Roman"/>
          <w:b/>
          <w:bCs/>
          <w:kern w:val="0"/>
          <w:szCs w:val="28"/>
          <w14:ligatures w14:val="none"/>
        </w:rPr>
      </w:pPr>
      <w:r>
        <w:rPr>
          <w:rFonts w:eastAsia="Times New Roman" w:cs="Times New Roman"/>
          <w:i/>
          <w:iCs/>
          <w:noProof/>
          <w:kern w:val="0"/>
          <w:sz w:val="26"/>
          <w:szCs w:val="26"/>
        </w:rPr>
        <mc:AlternateContent>
          <mc:Choice Requires="wps">
            <w:drawing>
              <wp:anchor distT="0" distB="0" distL="114300" distR="114300" simplePos="0" relativeHeight="251659264" behindDoc="0" locked="0" layoutInCell="1" allowOverlap="1" wp14:anchorId="606EB549" wp14:editId="205F3FBA">
                <wp:simplePos x="0" y="0"/>
                <wp:positionH relativeFrom="column">
                  <wp:posOffset>1731645</wp:posOffset>
                </wp:positionH>
                <wp:positionV relativeFrom="paragraph">
                  <wp:posOffset>805180</wp:posOffset>
                </wp:positionV>
                <wp:extent cx="2244090" cy="0"/>
                <wp:effectExtent l="0" t="0" r="0" b="0"/>
                <wp:wrapNone/>
                <wp:docPr id="1941043200" name="Straight Connector 1"/>
                <wp:cNvGraphicFramePr/>
                <a:graphic xmlns:a="http://schemas.openxmlformats.org/drawingml/2006/main">
                  <a:graphicData uri="http://schemas.microsoft.com/office/word/2010/wordprocessingShape">
                    <wps:wsp>
                      <wps:cNvCnPr/>
                      <wps:spPr>
                        <a:xfrm>
                          <a:off x="0" y="0"/>
                          <a:ext cx="224409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302FBFC6"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36.35pt,63.4pt" to="313.05pt,6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" strokecolor="#4472c4 [3204]" strokeweight=".5pt">
                <v:stroke joinstyle="miter"/>
              </v:line>
            </w:pict>
          </mc:Fallback>
        </mc:AlternateContent>
      </w:r>
      <w:r w:rsidR="0072339B" w:rsidRPr="0020123B">
        <w:rPr>
          <w:rFonts w:eastAsia="Times New Roman" w:cs="Times New Roman"/>
          <w:b/>
          <w:bCs/>
          <w:kern w:val="0"/>
          <w:szCs w:val="28"/>
          <w14:ligatures w14:val="none"/>
        </w:rPr>
        <w:t>Tổng kết, đánh giá việc thực hiện Thông tư số 144/2012/TT-BTC ngày 04/9/2012 của Bộ Tài chính quy định việc lập dự toán, quản lý, sử dụng và quyết toán kinh phí bảo đảm công tác tương trợ tư pháp</w:t>
      </w:r>
    </w:p>
    <w:p w14:paraId="580285E9" w14:textId="04FB7E1B" w:rsidR="008C7C9D" w:rsidRPr="008C7C9D" w:rsidRDefault="008C7C9D" w:rsidP="008C7C9D">
      <w:pPr>
        <w:spacing w:before="120" w:after="0" w:line="288" w:lineRule="auto"/>
        <w:ind w:firstLine="720"/>
        <w:jc w:val="center"/>
        <w:rPr>
          <w:rFonts w:eastAsia="Times New Roman" w:cs="Times New Roman"/>
          <w:i/>
          <w:iCs/>
          <w:kern w:val="0"/>
          <w:sz w:val="26"/>
          <w:szCs w:val="26"/>
          <w14:ligatures w14:val="none"/>
        </w:rPr>
      </w:pPr>
      <w:r w:rsidRPr="008C7C9D">
        <w:rPr>
          <w:rFonts w:eastAsia="Times New Roman" w:cs="Times New Roman"/>
          <w:i/>
          <w:iCs/>
          <w:kern w:val="0"/>
          <w:sz w:val="26"/>
          <w:szCs w:val="26"/>
          <w14:ligatures w14:val="none"/>
        </w:rPr>
        <w:t>(Kèm theo Tờ trình số:             /TTr-BCA-V03 ngày      tháng     năm 2026)</w:t>
      </w:r>
    </w:p>
    <w:p w14:paraId="10D06F3E" w14:textId="4E5917E9" w:rsidR="0072339B" w:rsidRPr="0020123B" w:rsidRDefault="0072339B" w:rsidP="008C7C9D">
      <w:pPr>
        <w:spacing w:before="120" w:after="0" w:line="288" w:lineRule="auto"/>
        <w:ind w:firstLine="720"/>
        <w:jc w:val="center"/>
        <w:rPr>
          <w:rFonts w:eastAsia="Times New Roman" w:cs="Times New Roman"/>
          <w:kern w:val="0"/>
          <w:szCs w:val="28"/>
          <w14:ligatures w14:val="none"/>
        </w:rPr>
      </w:pPr>
      <w:bookmarkStart w:id="0" w:name="_GoBack"/>
      <w:bookmarkEnd w:id="0"/>
    </w:p>
    <w:p w14:paraId="1ACE7064"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bookmarkStart w:id="1" w:name="_Hlk224229863"/>
      <w:r w:rsidRPr="0020123B">
        <w:rPr>
          <w:rFonts w:eastAsia="Times New Roman" w:cs="Times New Roman"/>
          <w:kern w:val="0"/>
          <w:szCs w:val="28"/>
          <w14:ligatures w14:val="none"/>
        </w:rPr>
        <w:t>Công tác tương trợ tư pháp là một trong những nội dung quan trọng trong hoạt động hợp tác quốc tế về pháp luật, góp phần bảo đảm việc thực thi pháp luật, hỗ trợ giải quyết các vụ việc có yếu tố nước ngoài, đồng thời bảo vệ quyền và lợi ích hợp pháp của tổ chức, cá nhân trong quá trình tham gia các quan hệ pháp luật quốc tế.</w:t>
      </w:r>
    </w:p>
    <w:p w14:paraId="7CBA7AD9"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Để bảo đảm nguồn lực tài chính phục vụ cho hoạt động tương trợ tư pháp, Bộ Tài chính đã ban hành Thông tư số 144/2012/TT-BTC ngày 04/9/2012 quy định việc lập dự toán, quản lý, sử dụng và quyết toán kinh phí bảo đảm công tác tương trợ tư pháp. Thông tư đã quy định cụ thể các nội dung chi, nguồn kinh phí, nguyên tắc quản lý và trách nhiệm của các cơ quan, đơn vị trong việc sử dụng kinh phí phục vụ hoạt động tương trợ tư pháp.</w:t>
      </w:r>
    </w:p>
    <w:p w14:paraId="1907E4D3"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Sau hơn một thời gian dài triển khai thực hiện, Thông tư số 144/2012/TT-BTC đã phát huy vai trò quan trọng trong việc tạo cơ sở pháp lý cho việc quản lý tài chính trong hoạt động tương trợ tư pháp, góp phần bảo đảm việc thực hiện các yêu cầu tương trợ tư pháp theo quy định của pháp luật và các điều ước quốc tế mà Việt Nam là thành viên.</w:t>
      </w:r>
    </w:p>
    <w:p w14:paraId="261403B2" w14:textId="2A5E152E"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Việc xây dựng báo cáo tổng kết nhằm đánh giá toàn diện tình hình triển khai thực hiện Thông tư trong thời gian qua, làm rõ những kết quả đạt được, những khó khăn, vướng mắc trong quá trình thực hiện, từ đó đề xuất các giải pháp, kiến nghị nhằm hoàn thiện cơ chế quản lý tài chính đối với hoạt động tương trợ tư pháp trong thời gian tới.</w:t>
      </w:r>
    </w:p>
    <w:p w14:paraId="68DE85F9" w14:textId="77777777" w:rsidR="0072339B" w:rsidRPr="0020123B" w:rsidRDefault="0072339B" w:rsidP="00DB0F1B">
      <w:pPr>
        <w:spacing w:before="120" w:after="0" w:line="288" w:lineRule="auto"/>
        <w:ind w:firstLine="720"/>
        <w:jc w:val="both"/>
        <w:outlineLvl w:val="0"/>
        <w:rPr>
          <w:rFonts w:eastAsia="Times New Roman" w:cs="Times New Roman"/>
          <w:b/>
          <w:bCs/>
          <w:kern w:val="36"/>
          <w:szCs w:val="28"/>
          <w14:ligatures w14:val="none"/>
        </w:rPr>
      </w:pPr>
      <w:r w:rsidRPr="0020123B">
        <w:rPr>
          <w:rFonts w:eastAsia="Times New Roman" w:cs="Times New Roman"/>
          <w:b/>
          <w:bCs/>
          <w:kern w:val="36"/>
          <w:szCs w:val="28"/>
          <w14:ligatures w14:val="none"/>
        </w:rPr>
        <w:t>II. TÌNH HÌNH TRIỂN KHAI THỰC HIỆN THÔNG TƯ</w:t>
      </w:r>
    </w:p>
    <w:p w14:paraId="3BC69825" w14:textId="77777777" w:rsidR="0072339B" w:rsidRPr="0020123B" w:rsidRDefault="0072339B" w:rsidP="00DB0F1B">
      <w:pPr>
        <w:spacing w:before="120" w:after="0" w:line="288" w:lineRule="auto"/>
        <w:ind w:firstLine="720"/>
        <w:jc w:val="both"/>
        <w:outlineLvl w:val="1"/>
        <w:rPr>
          <w:rFonts w:eastAsia="Times New Roman" w:cs="Times New Roman"/>
          <w:b/>
          <w:bCs/>
          <w:kern w:val="0"/>
          <w:szCs w:val="28"/>
          <w14:ligatures w14:val="none"/>
        </w:rPr>
      </w:pPr>
      <w:r w:rsidRPr="0020123B">
        <w:rPr>
          <w:rFonts w:eastAsia="Times New Roman" w:cs="Times New Roman"/>
          <w:b/>
          <w:bCs/>
          <w:kern w:val="0"/>
          <w:szCs w:val="28"/>
          <w14:ligatures w14:val="none"/>
        </w:rPr>
        <w:t>1. Công tác quán triệt, phổ biến và tổ chức thực hiện</w:t>
      </w:r>
    </w:p>
    <w:p w14:paraId="4CC7927E"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 xml:space="preserve">Sau khi Thông tư số 144/2012/TT-BTC được ban hành, các cơ quan, đơn vị đã chủ động tổ chức triển khai thực hiện theo chức năng, nhiệm vụ được giao. Công tác phổ biến, quán triệt nội dung Thông tư được thực hiện thông qua nhiều hình thức khác nhau như tổ chức hội nghị phổ biến văn bản pháp luật, lồng ghép trong các lớp tập huấn nghiệp vụ, phổ biến trong các cuộc họp </w:t>
      </w:r>
      <w:r w:rsidRPr="0020123B">
        <w:rPr>
          <w:rFonts w:eastAsia="Times New Roman" w:cs="Times New Roman"/>
          <w:kern w:val="0"/>
          <w:szCs w:val="28"/>
          <w14:ligatures w14:val="none"/>
        </w:rPr>
        <w:lastRenderedPageBreak/>
        <w:t>chuyên môn và thông qua hệ thống văn bản chỉ đạo, hướng dẫn của cơ quan quản lý cấp trên.</w:t>
      </w:r>
    </w:p>
    <w:p w14:paraId="1F4BB774"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Thông qua các hoạt động này, cán bộ, công chức làm công tác tương trợ tư pháp cũng như cán bộ làm công tác tài chính – kế toán tại các đơn vị đã được tiếp cận và nắm bắt tương đối đầy đủ các quy định của Thông tư. Điều này giúp nâng cao nhận thức về vai trò của công tác quản lý tài chính trong hoạt động tương trợ tư pháp, đồng thời tạo sự thống nhất trong quá trình tổ chức thực hiện.</w:t>
      </w:r>
    </w:p>
    <w:p w14:paraId="36C9A227"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Bên cạnh đó, các cơ quan, đơn vị đã chủ động xây dựng quy trình phối hợp giữa bộ phận chuyên môn thực hiện nhiệm vụ tương trợ tư pháp với bộ phận tài chính – kế toán nhằm bảo đảm việc lập dự toán, quản lý, sử dụng và quyết toán kinh phí được thực hiện đúng quy định.</w:t>
      </w:r>
    </w:p>
    <w:p w14:paraId="705E70CE" w14:textId="77777777" w:rsidR="0072339B" w:rsidRPr="0020123B" w:rsidRDefault="0072339B" w:rsidP="00DB0F1B">
      <w:pPr>
        <w:spacing w:before="120" w:after="0" w:line="288" w:lineRule="auto"/>
        <w:ind w:firstLine="720"/>
        <w:jc w:val="both"/>
        <w:outlineLvl w:val="1"/>
        <w:rPr>
          <w:rFonts w:eastAsia="Times New Roman" w:cs="Times New Roman"/>
          <w:b/>
          <w:bCs/>
          <w:kern w:val="0"/>
          <w:szCs w:val="28"/>
          <w14:ligatures w14:val="none"/>
        </w:rPr>
      </w:pPr>
      <w:r w:rsidRPr="0020123B">
        <w:rPr>
          <w:rFonts w:eastAsia="Times New Roman" w:cs="Times New Roman"/>
          <w:b/>
          <w:bCs/>
          <w:kern w:val="0"/>
          <w:szCs w:val="28"/>
          <w14:ligatures w14:val="none"/>
        </w:rPr>
        <w:t>2. Công tác lập dự toán kinh phí</w:t>
      </w:r>
    </w:p>
    <w:p w14:paraId="721A8957"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Hằng năm, căn cứ vào nhiệm vụ được giao và kế hoạch công tác tương trợ tư pháp, các cơ quan, đơn vị đã thực hiện việc lập dự toán kinh phí theo quy định tại Thông tư số 144/2012/TT-BTC và các quy định của pháp luật về ngân sách nhà nước.</w:t>
      </w:r>
    </w:p>
    <w:p w14:paraId="7F13CE34"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Việc lập dự toán được thực hiện trên cơ sở dự kiến khối lượng công việc cần thực hiện trong năm kế hoạch, bao gồm các hoạt động tiếp nhận và xử lý yêu cầu tương trợ tư pháp, dịch thuật hồ sơ, gửi tài liệu ra nước ngoài, chi phí thông tin liên lạc, chi phí tổ chức các hoạt động phối hợp nghiệp vụ và các khoản chi cần thiết khác theo quy định.</w:t>
      </w:r>
    </w:p>
    <w:p w14:paraId="35DAADFB"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Trong quá trình lập dự toán, các đơn vị đã chú trọng bảo đảm tính phù hợp với nhu cầu thực tế, đồng thời thực hiện theo nguyên tắc tiết kiệm, hiệu quả và đúng chế độ. Dự toán kinh phí sau khi được tổng hợp sẽ được trình cấp có thẩm quyền xem xét, phê duyệt theo quy định của pháp luật về ngân sách nhà nước.</w:t>
      </w:r>
    </w:p>
    <w:p w14:paraId="21515139"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Nhìn chung, công tác lập dự toán kinh phí phục vụ công tác tương trợ tư pháp đã được thực hiện tương đối đầy đủ, tạo điều kiện cho các đơn vị chủ động trong việc triển khai nhiệm vụ chuyên môn.</w:t>
      </w:r>
    </w:p>
    <w:p w14:paraId="47A5C5C8" w14:textId="77777777" w:rsidR="0072339B" w:rsidRPr="0020123B" w:rsidRDefault="0072339B" w:rsidP="00DB0F1B">
      <w:pPr>
        <w:spacing w:before="120" w:after="0" w:line="288" w:lineRule="auto"/>
        <w:ind w:firstLine="720"/>
        <w:jc w:val="both"/>
        <w:outlineLvl w:val="1"/>
        <w:rPr>
          <w:rFonts w:eastAsia="Times New Roman" w:cs="Times New Roman"/>
          <w:b/>
          <w:bCs/>
          <w:kern w:val="0"/>
          <w:szCs w:val="28"/>
          <w14:ligatures w14:val="none"/>
        </w:rPr>
      </w:pPr>
      <w:r w:rsidRPr="0020123B">
        <w:rPr>
          <w:rFonts w:eastAsia="Times New Roman" w:cs="Times New Roman"/>
          <w:b/>
          <w:bCs/>
          <w:kern w:val="0"/>
          <w:szCs w:val="28"/>
          <w14:ligatures w14:val="none"/>
        </w:rPr>
        <w:t>3. Công tác quản lý và sử dụng kinh phí</w:t>
      </w:r>
    </w:p>
    <w:p w14:paraId="3DA16DD6"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 xml:space="preserve">Việc quản lý và sử dụng kinh phí bảo đảm công tác tương trợ tư pháp được các cơ quan, đơn vị thực hiện theo đúng quy định của Thông tư số </w:t>
      </w:r>
      <w:r w:rsidRPr="0020123B">
        <w:rPr>
          <w:rFonts w:eastAsia="Times New Roman" w:cs="Times New Roman"/>
          <w:kern w:val="0"/>
          <w:szCs w:val="28"/>
          <w14:ligatures w14:val="none"/>
        </w:rPr>
        <w:lastRenderedPageBreak/>
        <w:t>144/2012/TT-BTC và các quy định có liên quan của pháp luật về quản lý tài chính, ngân sách nhà nước.</w:t>
      </w:r>
    </w:p>
    <w:p w14:paraId="74FF7EF5"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Các khoản chi phục vụ hoạt động tương trợ tư pháp chủ yếu bao gồm chi phí dịch thuật, phiên dịch tài liệu; chi phí gửi hồ sơ, tài liệu; chi phí phục vụ việc trao đổi thông tin, phối hợp với các cơ quan có thẩm quyền trong và ngoài nước; và các khoản chi khác phục vụ trực tiếp cho việc giải quyết các yêu cầu tương trợ tư pháp.</w:t>
      </w:r>
    </w:p>
    <w:p w14:paraId="08B68381"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Việc chi tiêu kinh phí được thực hiện trên cơ sở nhiệm vụ phát sinh thực tế, bảo đảm có đầy đủ hồ sơ, chứng từ hợp lệ, hợp pháp theo quy định của pháp luật. Các đơn vị đã thực hiện nghiêm túc quy trình kiểm soát chi thông qua hệ thống kiểm soát nội bộ và sự kiểm soát của cơ quan tài chính, kho bạc nhà nước.</w:t>
      </w:r>
    </w:p>
    <w:p w14:paraId="5CDFA123"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Qua quá trình thực hiện cho thấy, kinh phí được sử dụng cơ bản đúng mục đích, phục vụ trực tiếp cho hoạt động tương trợ tư pháp, góp phần bảo đảm tiến độ và chất lượng xử lý các yêu cầu tương trợ tư pháp.</w:t>
      </w:r>
    </w:p>
    <w:p w14:paraId="0A359B2D" w14:textId="77777777" w:rsidR="0072339B" w:rsidRPr="0020123B" w:rsidRDefault="0072339B" w:rsidP="00DB0F1B">
      <w:pPr>
        <w:spacing w:before="120" w:after="0" w:line="288" w:lineRule="auto"/>
        <w:ind w:firstLine="720"/>
        <w:jc w:val="both"/>
        <w:outlineLvl w:val="1"/>
        <w:rPr>
          <w:rFonts w:eastAsia="Times New Roman" w:cs="Times New Roman"/>
          <w:b/>
          <w:bCs/>
          <w:kern w:val="0"/>
          <w:szCs w:val="28"/>
          <w14:ligatures w14:val="none"/>
        </w:rPr>
      </w:pPr>
      <w:r w:rsidRPr="0020123B">
        <w:rPr>
          <w:rFonts w:eastAsia="Times New Roman" w:cs="Times New Roman"/>
          <w:b/>
          <w:bCs/>
          <w:kern w:val="0"/>
          <w:szCs w:val="28"/>
          <w14:ligatures w14:val="none"/>
        </w:rPr>
        <w:t>4. Công tác thanh tra, kiểm tra và quyết toán kinh phí</w:t>
      </w:r>
    </w:p>
    <w:p w14:paraId="458ED08F"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Công tác kiểm tra, giám sát việc quản lý và sử dụng kinh phí tương trợ tư pháp được thực hiện thông qua nhiều hình thức như kiểm tra nội bộ, kiểm tra của cơ quan tài chính và thông qua quá trình thẩm định, phê duyệt quyết toán ngân sách hằng năm.</w:t>
      </w:r>
    </w:p>
    <w:p w14:paraId="12E3D52B"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Hằng năm, các đơn vị thực hiện việc tổng hợp và lập báo cáo quyết toán kinh phí tương trợ tư pháp theo quy định của pháp luật về ngân sách nhà nước. Hồ sơ quyết toán được lập đầy đủ, gửi cơ quan có thẩm quyền thẩm định và phê duyệt theo đúng quy trình.</w:t>
      </w:r>
    </w:p>
    <w:p w14:paraId="3F1EA24D" w14:textId="6824294D"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Thông qua công tác quyết toán, việc quản lý và sử dụng kinh phí được rà soát, đánh giá một cách toàn diện, góp phần phát hiện và khắc phục kịp thời những sai sót (nếu có), đồng thời nâng cao trách nhiệm của các đơn vị trong việc sử dụng ngân sách nhà nước.</w:t>
      </w:r>
    </w:p>
    <w:p w14:paraId="15454B74" w14:textId="77777777" w:rsidR="0072339B" w:rsidRPr="0020123B" w:rsidRDefault="0072339B" w:rsidP="00DB0F1B">
      <w:pPr>
        <w:spacing w:before="120" w:after="0" w:line="288" w:lineRule="auto"/>
        <w:ind w:firstLine="720"/>
        <w:jc w:val="both"/>
        <w:outlineLvl w:val="0"/>
        <w:rPr>
          <w:rFonts w:eastAsia="Times New Roman" w:cs="Times New Roman"/>
          <w:b/>
          <w:bCs/>
          <w:kern w:val="36"/>
          <w:szCs w:val="28"/>
          <w14:ligatures w14:val="none"/>
        </w:rPr>
      </w:pPr>
      <w:r w:rsidRPr="0020123B">
        <w:rPr>
          <w:rFonts w:eastAsia="Times New Roman" w:cs="Times New Roman"/>
          <w:b/>
          <w:bCs/>
          <w:kern w:val="36"/>
          <w:szCs w:val="28"/>
          <w14:ligatures w14:val="none"/>
        </w:rPr>
        <w:t>III. ĐÁNH GIÁ CHUNG</w:t>
      </w:r>
    </w:p>
    <w:p w14:paraId="1E6C4EB3" w14:textId="77777777" w:rsidR="0072339B" w:rsidRPr="0020123B" w:rsidRDefault="0072339B" w:rsidP="00DB0F1B">
      <w:pPr>
        <w:spacing w:before="120" w:after="0" w:line="288" w:lineRule="auto"/>
        <w:ind w:firstLine="720"/>
        <w:jc w:val="both"/>
        <w:outlineLvl w:val="1"/>
        <w:rPr>
          <w:rFonts w:eastAsia="Times New Roman" w:cs="Times New Roman"/>
          <w:b/>
          <w:bCs/>
          <w:kern w:val="0"/>
          <w:szCs w:val="28"/>
          <w14:ligatures w14:val="none"/>
        </w:rPr>
      </w:pPr>
      <w:r w:rsidRPr="0020123B">
        <w:rPr>
          <w:rFonts w:eastAsia="Times New Roman" w:cs="Times New Roman"/>
          <w:b/>
          <w:bCs/>
          <w:kern w:val="0"/>
          <w:szCs w:val="28"/>
          <w14:ligatures w14:val="none"/>
        </w:rPr>
        <w:t>1. Những kết quả đạt được</w:t>
      </w:r>
    </w:p>
    <w:p w14:paraId="3C13ED4A"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Qua quá trình triển khai thực hiện, Thông tư số 144/2012/TT-BTC đã mang lại nhiều kết quả tích cực trong công tác quản lý tài chính đối với hoạt động tương trợ tư pháp.</w:t>
      </w:r>
    </w:p>
    <w:p w14:paraId="6382F590"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lastRenderedPageBreak/>
        <w:t>Trước hết, Thông tư đã tạo hành lang pháp lý quan trọng để các cơ quan, đơn vị thực hiện việc lập dự toán, quản lý, sử dụng và quyết toán kinh phí phục vụ công tác tương trợ tư pháp một cách thống nhất và minh bạch.</w:t>
      </w:r>
    </w:p>
    <w:p w14:paraId="321392AB"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Thứ hai, việc triển khai thực hiện Thông tư đã góp phần nâng cao hiệu quả quản lý ngân sách nhà nước trong lĩnh vực tương trợ tư pháp, bảo đảm kinh phí được sử dụng đúng mục đích, tiết kiệm và hiệu quả.</w:t>
      </w:r>
    </w:p>
    <w:p w14:paraId="33EE7F8A"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Thứ ba, nguồn kinh phí được bố trí theo quy định đã tạo điều kiện thuận lợi cho các cơ quan, đơn vị trong việc xử lý các yêu cầu tương trợ tư pháp, đặc biệt đối với các vụ việc có yếu tố nước ngoài, qua đó góp phần nâng cao hiệu quả hợp tác quốc tế trong lĩnh vực pháp luật.</w:t>
      </w:r>
    </w:p>
    <w:p w14:paraId="5F9FADAB"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Thứ tư, thông qua việc thực hiện quy định về quyết toán kinh phí, công tác kiểm tra, giám sát việc sử dụng ngân sách nhà nước được tăng cường, góp phần nâng cao tính minh bạch và trách nhiệm giải trình của các đơn vị.</w:t>
      </w:r>
    </w:p>
    <w:p w14:paraId="0BD65F7A" w14:textId="77777777" w:rsidR="0072339B" w:rsidRPr="0020123B" w:rsidRDefault="0072339B" w:rsidP="00DB0F1B">
      <w:pPr>
        <w:spacing w:before="120" w:after="0" w:line="288" w:lineRule="auto"/>
        <w:ind w:firstLine="720"/>
        <w:jc w:val="both"/>
        <w:outlineLvl w:val="1"/>
        <w:rPr>
          <w:rFonts w:eastAsia="Times New Roman" w:cs="Times New Roman"/>
          <w:b/>
          <w:bCs/>
          <w:kern w:val="0"/>
          <w:szCs w:val="28"/>
          <w14:ligatures w14:val="none"/>
        </w:rPr>
      </w:pPr>
      <w:r w:rsidRPr="0020123B">
        <w:rPr>
          <w:rFonts w:eastAsia="Times New Roman" w:cs="Times New Roman"/>
          <w:b/>
          <w:bCs/>
          <w:kern w:val="0"/>
          <w:szCs w:val="28"/>
          <w14:ligatures w14:val="none"/>
        </w:rPr>
        <w:t>2. Khó khăn, hạn chế</w:t>
      </w:r>
    </w:p>
    <w:p w14:paraId="6E392A63" w14:textId="77777777" w:rsidR="00AC0A32" w:rsidRDefault="0072339B" w:rsidP="00AC0A32">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Bên cạnh những kết quả đạt được, quá trình thực hiện Thông tư số 144/2012/TT-BTC vẫn còn một số khó khăn, hạn chế</w:t>
      </w:r>
      <w:r w:rsidR="008C7C9D">
        <w:rPr>
          <w:rFonts w:eastAsia="Times New Roman" w:cs="Times New Roman"/>
          <w:kern w:val="0"/>
          <w:szCs w:val="28"/>
          <w14:ligatures w14:val="none"/>
        </w:rPr>
        <w:t>:</w:t>
      </w:r>
    </w:p>
    <w:p w14:paraId="4E8D2ACD" w14:textId="17099488" w:rsidR="00AC0A32" w:rsidRPr="00AC0A32" w:rsidRDefault="00AC0A32" w:rsidP="00AC0A32">
      <w:pPr>
        <w:spacing w:before="120" w:after="0" w:line="288" w:lineRule="auto"/>
        <w:ind w:firstLine="720"/>
        <w:jc w:val="both"/>
        <w:rPr>
          <w:rFonts w:eastAsia="Times New Roman" w:cs="Times New Roman"/>
          <w:kern w:val="0"/>
          <w:szCs w:val="28"/>
          <w14:ligatures w14:val="none"/>
        </w:rPr>
      </w:pPr>
      <w:r>
        <w:rPr>
          <w:rFonts w:eastAsia="Times New Roman" w:cs="Times New Roman"/>
          <w:kern w:val="0"/>
          <w:szCs w:val="28"/>
          <w14:ligatures w14:val="none"/>
        </w:rPr>
        <w:t xml:space="preserve">- Các văn bản quy phạm pháp luật là căn cứ ban hành Thông tư 144/20212/TT-BTC đã được sửa đổi, bổ sung. </w:t>
      </w:r>
      <w:r w:rsidRPr="00D0389C">
        <w:rPr>
          <w:highlight w:val="white"/>
        </w:rPr>
        <w:t>Ngày 26/11/2025, tại Kỳ họp thứ 10, Quốc hội khóa XV đã thông qua</w:t>
      </w:r>
      <w:r w:rsidRPr="00D0389C">
        <w:t xml:space="preserve"> Luật Dẫn độ số 101/2025/QH15, Luật Chuyển giao người đang chấp hành án phạt tù số 102/2025/QH15, Luật Tương trợ tư pháp về hình sự số 103/2025/QH15,</w:t>
      </w:r>
      <w:r>
        <w:t xml:space="preserve"> Luật Tương trợ tư pháp về dân sự </w:t>
      </w:r>
      <w:r w:rsidRPr="00D0389C">
        <w:t>số 103/2025/QH15</w:t>
      </w:r>
      <w:r>
        <w:t>,</w:t>
      </w:r>
      <w:r w:rsidRPr="00D0389C">
        <w:t xml:space="preserve"> có hiệu lực thi hành từ</w:t>
      </w:r>
      <w:r>
        <w:t xml:space="preserve"> ngày 01/7/2026. </w:t>
      </w:r>
      <w:r w:rsidRPr="00AC0A32">
        <w:rPr>
          <w:szCs w:val="28"/>
        </w:rPr>
        <w:t xml:space="preserve">Theo đó, </w:t>
      </w:r>
      <w:r w:rsidRPr="00AC0A32">
        <w:rPr>
          <w:iCs/>
          <w:szCs w:val="28"/>
        </w:rPr>
        <w:t>Nghị định số 92</w:t>
      </w:r>
      <w:r w:rsidRPr="00AC0A32">
        <w:rPr>
          <w:iCs/>
          <w:szCs w:val="28"/>
          <w:lang w:val="vi-VN"/>
        </w:rPr>
        <w:t xml:space="preserve">/2008/NĐ-CP ngày 22/8/2008 của Chính phủ hướng dẫn thi hành mội số điều của Luật Tương </w:t>
      </w:r>
      <w:r w:rsidRPr="00AC0A32">
        <w:rPr>
          <w:iCs/>
          <w:szCs w:val="28"/>
        </w:rPr>
        <w:t>t</w:t>
      </w:r>
      <w:r w:rsidRPr="00AC0A32">
        <w:rPr>
          <w:iCs/>
          <w:szCs w:val="28"/>
          <w:lang w:val="vi-VN"/>
        </w:rPr>
        <w:t>rợ tư pháp năm 2007</w:t>
      </w:r>
      <w:r>
        <w:rPr>
          <w:iCs/>
          <w:szCs w:val="28"/>
        </w:rPr>
        <w:t xml:space="preserve"> sẽ hết hiệu lực.</w:t>
      </w:r>
    </w:p>
    <w:p w14:paraId="7FD461C2" w14:textId="0E199BAB" w:rsidR="0072339B" w:rsidRPr="0020123B" w:rsidRDefault="008C7C9D" w:rsidP="00DB0F1B">
      <w:pPr>
        <w:spacing w:before="120" w:after="0" w:line="288" w:lineRule="auto"/>
        <w:ind w:firstLine="720"/>
        <w:jc w:val="both"/>
        <w:rPr>
          <w:rFonts w:eastAsia="Times New Roman" w:cs="Times New Roman"/>
          <w:kern w:val="0"/>
          <w:szCs w:val="28"/>
          <w14:ligatures w14:val="none"/>
        </w:rPr>
      </w:pPr>
      <w:r>
        <w:rPr>
          <w:rFonts w:eastAsia="Times New Roman" w:cs="Times New Roman"/>
          <w:kern w:val="0"/>
          <w:szCs w:val="28"/>
          <w14:ligatures w14:val="none"/>
        </w:rPr>
        <w:t xml:space="preserve">- </w:t>
      </w:r>
      <w:r w:rsidR="0072339B" w:rsidRPr="0020123B">
        <w:rPr>
          <w:rFonts w:eastAsia="Times New Roman" w:cs="Times New Roman"/>
          <w:kern w:val="0"/>
          <w:szCs w:val="28"/>
          <w14:ligatures w14:val="none"/>
        </w:rPr>
        <w:t>Một số quy định trong Thông tư đã được ban hành từ năm 2012 nên đến nay đã bộc lộ những điểm chưa thực sự phù hợp với thực tiễn, đặc biệt trong bối cảnh hoạt động tương trợ tư pháp ngày càng phát triển và có nhiều hình thức hợp tác quốc tế mới.</w:t>
      </w:r>
    </w:p>
    <w:p w14:paraId="11B75C45" w14:textId="145D6921" w:rsidR="0072339B" w:rsidRDefault="008C7C9D" w:rsidP="00DB0F1B">
      <w:pPr>
        <w:spacing w:before="120" w:after="0" w:line="288" w:lineRule="auto"/>
        <w:ind w:firstLine="720"/>
        <w:jc w:val="both"/>
        <w:rPr>
          <w:rFonts w:eastAsia="Times New Roman" w:cs="Times New Roman"/>
          <w:kern w:val="0"/>
          <w:szCs w:val="28"/>
          <w14:ligatures w14:val="none"/>
        </w:rPr>
      </w:pPr>
      <w:r>
        <w:rPr>
          <w:rFonts w:eastAsia="Times New Roman" w:cs="Times New Roman"/>
          <w:kern w:val="0"/>
          <w:szCs w:val="28"/>
          <w14:ligatures w14:val="none"/>
        </w:rPr>
        <w:t xml:space="preserve">- </w:t>
      </w:r>
      <w:r w:rsidR="0072339B" w:rsidRPr="0020123B">
        <w:rPr>
          <w:rFonts w:eastAsia="Times New Roman" w:cs="Times New Roman"/>
          <w:kern w:val="0"/>
          <w:szCs w:val="28"/>
          <w14:ligatures w14:val="none"/>
        </w:rPr>
        <w:t>Mức chi đối với một số nội dung chi chưa phù hợp với tình hình giá cả hiện nay, đặc biệt là chi phí dịch thuật, phiên dịch và gửi tài liệu ra nước ngoài</w:t>
      </w:r>
      <w:r>
        <w:rPr>
          <w:rFonts w:eastAsia="Times New Roman" w:cs="Times New Roman"/>
          <w:kern w:val="0"/>
          <w:szCs w:val="28"/>
          <w14:ligatures w14:val="none"/>
        </w:rPr>
        <w:t>:</w:t>
      </w:r>
    </w:p>
    <w:p w14:paraId="093C029D" w14:textId="5BFE7096" w:rsidR="008C7C9D" w:rsidRDefault="008C7C9D" w:rsidP="00DB0F1B">
      <w:pPr>
        <w:spacing w:before="120" w:after="0" w:line="288" w:lineRule="auto"/>
        <w:ind w:firstLine="720"/>
        <w:jc w:val="both"/>
        <w:rPr>
          <w:szCs w:val="28"/>
        </w:rPr>
      </w:pPr>
      <w:r>
        <w:rPr>
          <w:szCs w:val="28"/>
        </w:rPr>
        <w:t>+ Điểm a, khoản 2 Điều 4 Thông tư 144 quy định “</w:t>
      </w:r>
      <w:r w:rsidRPr="00B64F5D">
        <w:rPr>
          <w:i/>
          <w:iCs/>
          <w:color w:val="000000"/>
          <w:szCs w:val="28"/>
          <w:lang w:val="vi-VN"/>
        </w:rPr>
        <w:t>Chi cho việc x</w:t>
      </w:r>
      <w:r w:rsidRPr="00B64F5D">
        <w:rPr>
          <w:i/>
          <w:iCs/>
          <w:color w:val="000000"/>
          <w:szCs w:val="28"/>
        </w:rPr>
        <w:t>ử </w:t>
      </w:r>
      <w:r w:rsidRPr="00B64F5D">
        <w:rPr>
          <w:i/>
          <w:iCs/>
          <w:color w:val="000000"/>
          <w:szCs w:val="28"/>
          <w:lang w:val="vi-VN"/>
        </w:rPr>
        <w:t>lý hồ sơ </w:t>
      </w:r>
      <w:r w:rsidRPr="00B64F5D">
        <w:rPr>
          <w:i/>
          <w:iCs/>
          <w:color w:val="000000"/>
          <w:szCs w:val="28"/>
        </w:rPr>
        <w:t>ủy</w:t>
      </w:r>
      <w:r w:rsidRPr="00B64F5D">
        <w:rPr>
          <w:i/>
          <w:iCs/>
          <w:color w:val="000000"/>
          <w:szCs w:val="28"/>
          <w:lang w:val="vi-VN"/>
        </w:rPr>
        <w:t> thác tư ph</w:t>
      </w:r>
      <w:r w:rsidRPr="00B64F5D">
        <w:rPr>
          <w:i/>
          <w:iCs/>
          <w:color w:val="000000"/>
          <w:szCs w:val="28"/>
        </w:rPr>
        <w:t>á</w:t>
      </w:r>
      <w:r w:rsidRPr="00B64F5D">
        <w:rPr>
          <w:i/>
          <w:iCs/>
          <w:color w:val="000000"/>
          <w:szCs w:val="28"/>
          <w:lang w:val="vi-VN"/>
        </w:rPr>
        <w:t>p: Từ 100.000 đồng - 500.000 </w:t>
      </w:r>
      <w:r w:rsidRPr="00B64F5D">
        <w:rPr>
          <w:i/>
          <w:iCs/>
          <w:color w:val="000000"/>
          <w:szCs w:val="28"/>
        </w:rPr>
        <w:t>đ</w:t>
      </w:r>
      <w:r w:rsidRPr="00B64F5D">
        <w:rPr>
          <w:i/>
          <w:iCs/>
          <w:color w:val="000000"/>
          <w:szCs w:val="28"/>
          <w:lang w:val="vi-VN"/>
        </w:rPr>
        <w:t>ồng/bộ hồ sơ</w:t>
      </w:r>
      <w:r w:rsidRPr="00B64F5D">
        <w:rPr>
          <w:szCs w:val="28"/>
        </w:rPr>
        <w:t>”</w:t>
      </w:r>
      <w:r>
        <w:rPr>
          <w:szCs w:val="28"/>
        </w:rPr>
        <w:t xml:space="preserve"> nhưng không quy định chi tiết loại hồ sơ nào tương ứng với số tiền bao nhiêu nên gây khó khăn cho việc áp dụng mức tối thiểu hay tối đa.</w:t>
      </w:r>
    </w:p>
    <w:p w14:paraId="5E3CEB5E" w14:textId="5D6C0E0B" w:rsidR="008C7C9D" w:rsidRDefault="008C7C9D" w:rsidP="00DB0F1B">
      <w:pPr>
        <w:spacing w:before="120" w:after="0" w:line="288" w:lineRule="auto"/>
        <w:jc w:val="both"/>
        <w:rPr>
          <w:szCs w:val="28"/>
        </w:rPr>
      </w:pPr>
      <w:r>
        <w:rPr>
          <w:szCs w:val="28"/>
        </w:rPr>
        <w:lastRenderedPageBreak/>
        <w:tab/>
        <w:t>+ Điểm a, khoản 2 Điều 4 Thông tư 144 quy định “</w:t>
      </w:r>
      <w:r w:rsidRPr="00B64F5D">
        <w:rPr>
          <w:i/>
          <w:iCs/>
          <w:color w:val="000000"/>
          <w:szCs w:val="28"/>
          <w:lang w:val="vi-VN"/>
        </w:rPr>
        <w:t>Chi lấy ý kiến chuyên gia trong trường hợp yêu cầu tương trợ tư pháp liên quan đến vấn đề phức tạp, c</w:t>
      </w:r>
      <w:r w:rsidRPr="00B64F5D">
        <w:rPr>
          <w:i/>
          <w:iCs/>
          <w:color w:val="000000"/>
          <w:szCs w:val="28"/>
        </w:rPr>
        <w:t>ầ</w:t>
      </w:r>
      <w:r w:rsidRPr="00B64F5D">
        <w:rPr>
          <w:i/>
          <w:iCs/>
          <w:color w:val="000000"/>
          <w:szCs w:val="28"/>
          <w:lang w:val="vi-VN"/>
        </w:rPr>
        <w:t>n xin ý kiến ch</w:t>
      </w:r>
      <w:r w:rsidRPr="00B64F5D">
        <w:rPr>
          <w:i/>
          <w:iCs/>
          <w:color w:val="000000"/>
          <w:szCs w:val="28"/>
        </w:rPr>
        <w:t>ỉ </w:t>
      </w:r>
      <w:r w:rsidRPr="00B64F5D">
        <w:rPr>
          <w:i/>
          <w:iCs/>
          <w:color w:val="000000"/>
          <w:szCs w:val="28"/>
          <w:lang w:val="vi-VN"/>
        </w:rPr>
        <w:t>đạo của Lãnh đạo các c</w:t>
      </w:r>
      <w:r w:rsidRPr="00B64F5D">
        <w:rPr>
          <w:i/>
          <w:iCs/>
          <w:color w:val="000000"/>
          <w:szCs w:val="28"/>
        </w:rPr>
        <w:t>ơ</w:t>
      </w:r>
      <w:r w:rsidRPr="00B64F5D">
        <w:rPr>
          <w:i/>
          <w:iCs/>
          <w:color w:val="000000"/>
          <w:szCs w:val="28"/>
          <w:lang w:val="vi-VN"/>
        </w:rPr>
        <w:t> quan c</w:t>
      </w:r>
      <w:r w:rsidRPr="00B64F5D">
        <w:rPr>
          <w:i/>
          <w:iCs/>
          <w:color w:val="000000"/>
          <w:szCs w:val="28"/>
        </w:rPr>
        <w:t>ó thẩm quyền </w:t>
      </w:r>
      <w:r w:rsidRPr="00B64F5D">
        <w:rPr>
          <w:i/>
          <w:iCs/>
          <w:color w:val="000000"/>
          <w:szCs w:val="28"/>
          <w:lang w:val="vi-VN"/>
        </w:rPr>
        <w:t>có liên quan: từ 3</w:t>
      </w:r>
      <w:r w:rsidRPr="00B64F5D">
        <w:rPr>
          <w:i/>
          <w:iCs/>
          <w:color w:val="000000"/>
          <w:szCs w:val="28"/>
        </w:rPr>
        <w:t>00.000 đồng</w:t>
      </w:r>
      <w:r>
        <w:rPr>
          <w:i/>
          <w:iCs/>
          <w:color w:val="000000"/>
          <w:szCs w:val="28"/>
        </w:rPr>
        <w:t xml:space="preserve"> </w:t>
      </w:r>
      <w:r w:rsidRPr="00B64F5D">
        <w:rPr>
          <w:i/>
          <w:iCs/>
          <w:color w:val="000000"/>
          <w:szCs w:val="28"/>
          <w:lang w:val="vi-VN"/>
        </w:rPr>
        <w:t>-</w:t>
      </w:r>
      <w:r>
        <w:rPr>
          <w:i/>
          <w:iCs/>
          <w:color w:val="000000"/>
          <w:szCs w:val="28"/>
        </w:rPr>
        <w:t xml:space="preserve"> </w:t>
      </w:r>
      <w:r w:rsidRPr="00B64F5D">
        <w:rPr>
          <w:i/>
          <w:iCs/>
          <w:color w:val="000000"/>
          <w:szCs w:val="28"/>
          <w:lang w:val="vi-VN"/>
        </w:rPr>
        <w:t>6</w:t>
      </w:r>
      <w:r w:rsidRPr="00B64F5D">
        <w:rPr>
          <w:i/>
          <w:iCs/>
          <w:color w:val="000000"/>
          <w:szCs w:val="28"/>
        </w:rPr>
        <w:t>00.000 đồng</w:t>
      </w:r>
      <w:r w:rsidRPr="00B64F5D">
        <w:rPr>
          <w:i/>
          <w:iCs/>
          <w:color w:val="000000"/>
          <w:szCs w:val="28"/>
          <w:lang w:val="vi-VN"/>
        </w:rPr>
        <w:t>/</w:t>
      </w:r>
      <w:r w:rsidRPr="00B64F5D">
        <w:rPr>
          <w:i/>
          <w:iCs/>
          <w:color w:val="000000"/>
          <w:szCs w:val="28"/>
        </w:rPr>
        <w:t>văn bản</w:t>
      </w:r>
      <w:r w:rsidRPr="00B64F5D">
        <w:rPr>
          <w:i/>
          <w:iCs/>
          <w:color w:val="000000"/>
          <w:szCs w:val="28"/>
          <w:lang w:val="vi-VN"/>
        </w:rPr>
        <w:t>/chuyên gia</w:t>
      </w:r>
      <w:r w:rsidRPr="00B64F5D">
        <w:rPr>
          <w:szCs w:val="28"/>
        </w:rPr>
        <w:t>”</w:t>
      </w:r>
      <w:r>
        <w:rPr>
          <w:szCs w:val="28"/>
        </w:rPr>
        <w:t xml:space="preserve"> nhưng không quy định chi tiết mức độ phức tạp nên gây khó khăn cho việc áp dụng các mức chi cho từng ý kiến chuyên gia.</w:t>
      </w:r>
    </w:p>
    <w:p w14:paraId="621E670A" w14:textId="2A9FEB96" w:rsidR="008C7C9D" w:rsidRDefault="008C7C9D" w:rsidP="00DB0F1B">
      <w:pPr>
        <w:spacing w:before="120" w:after="0" w:line="288" w:lineRule="auto"/>
        <w:jc w:val="both"/>
        <w:rPr>
          <w:color w:val="000000"/>
          <w:szCs w:val="28"/>
        </w:rPr>
      </w:pPr>
      <w:r>
        <w:rPr>
          <w:szCs w:val="28"/>
        </w:rPr>
        <w:tab/>
        <w:t>+ Về kinh phí c</w:t>
      </w:r>
      <w:r w:rsidRPr="0078603C">
        <w:rPr>
          <w:color w:val="000000"/>
          <w:szCs w:val="28"/>
          <w:lang w:val="vi-VN"/>
        </w:rPr>
        <w:t>hi cho hoạt động dịch hồ sơ, tài liệu</w:t>
      </w:r>
      <w:r>
        <w:rPr>
          <w:color w:val="000000"/>
          <w:szCs w:val="28"/>
        </w:rPr>
        <w:t>: nhiều ngôn ngữ</w:t>
      </w:r>
      <w:r w:rsidRPr="0078603C">
        <w:rPr>
          <w:color w:val="000000"/>
          <w:szCs w:val="28"/>
          <w:lang w:val="vi-VN"/>
        </w:rPr>
        <w:t xml:space="preserve"> </w:t>
      </w:r>
      <w:r>
        <w:rPr>
          <w:color w:val="000000"/>
          <w:szCs w:val="28"/>
        </w:rPr>
        <w:t xml:space="preserve">thực tế mức kinh phí nhiều hơn quy định của Nhà nước như tiếng Ả rập, tiếng Séc, tiếng Ba Lan…với mức giá 350.000đ - 400.000đ/trang/300 chữ. Vì vậy, với mức chi quy định tại Thông tư 144 là 150.000đ/trang/350 chữ như hiện nay thì việc thanh toán gặp rất nhiều khó khăn. </w:t>
      </w:r>
    </w:p>
    <w:p w14:paraId="425B823B" w14:textId="0ECC7FB7" w:rsidR="0072339B" w:rsidRPr="0020123B" w:rsidRDefault="008C7C9D" w:rsidP="00DB0F1B">
      <w:pPr>
        <w:spacing w:before="120" w:after="0" w:line="288" w:lineRule="auto"/>
        <w:ind w:firstLine="720"/>
        <w:jc w:val="both"/>
        <w:rPr>
          <w:rFonts w:eastAsia="Times New Roman" w:cs="Times New Roman"/>
          <w:kern w:val="0"/>
          <w:szCs w:val="28"/>
          <w14:ligatures w14:val="none"/>
        </w:rPr>
      </w:pPr>
      <w:r>
        <w:rPr>
          <w:rFonts w:eastAsia="Times New Roman" w:cs="Times New Roman"/>
          <w:kern w:val="0"/>
          <w:szCs w:val="28"/>
          <w14:ligatures w14:val="none"/>
        </w:rPr>
        <w:t xml:space="preserve">- </w:t>
      </w:r>
      <w:r w:rsidR="0072339B" w:rsidRPr="0020123B">
        <w:rPr>
          <w:rFonts w:eastAsia="Times New Roman" w:cs="Times New Roman"/>
          <w:kern w:val="0"/>
          <w:szCs w:val="28"/>
          <w14:ligatures w14:val="none"/>
        </w:rPr>
        <w:t>Ngoài ra, việc bố trí kinh phí cho công tác tương trợ tư pháp tại một số đơn vị còn hạn chế do nguồn ngân sách còn khó khăn, dẫn đến việc triển khai một số hoạt động chưa được thực hiện đầy đủ theo yêu cầu thực tiễn.</w:t>
      </w:r>
    </w:p>
    <w:p w14:paraId="51C6C5F4" w14:textId="2470AB0A"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Bên cạnh đó, tại một số đơn vị, cán bộ làm công tác chuyên môn và cán bộ tài chính chưa có nhiều kinh nghiệm trong việc lập dự toán và thanh quyết toán kinh phí tương trợ tư pháp, dẫn đến việc thực hiện đôi khi còn lúng túng.</w:t>
      </w:r>
    </w:p>
    <w:p w14:paraId="51A503F2" w14:textId="77777777" w:rsidR="0072339B" w:rsidRPr="0020123B" w:rsidRDefault="0072339B" w:rsidP="00DB0F1B">
      <w:pPr>
        <w:spacing w:before="120" w:after="0" w:line="288" w:lineRule="auto"/>
        <w:ind w:firstLine="720"/>
        <w:jc w:val="both"/>
        <w:outlineLvl w:val="0"/>
        <w:rPr>
          <w:rFonts w:eastAsia="Times New Roman" w:cs="Times New Roman"/>
          <w:b/>
          <w:bCs/>
          <w:kern w:val="36"/>
          <w:szCs w:val="28"/>
          <w14:ligatures w14:val="none"/>
        </w:rPr>
      </w:pPr>
      <w:r w:rsidRPr="0020123B">
        <w:rPr>
          <w:rFonts w:eastAsia="Times New Roman" w:cs="Times New Roman"/>
          <w:b/>
          <w:bCs/>
          <w:kern w:val="36"/>
          <w:szCs w:val="28"/>
          <w14:ligatures w14:val="none"/>
        </w:rPr>
        <w:t>IV. KIẾN NGHỊ, ĐỀ XUẤT</w:t>
      </w:r>
    </w:p>
    <w:p w14:paraId="429540BE"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Để nâng cao hiệu quả thực hiện các quy định về quản lý tài chính trong công tác tương trợ tư pháp, đề nghị cơ quan có thẩm quyền xem xét một số nội dung sau:</w:t>
      </w:r>
    </w:p>
    <w:p w14:paraId="72E18D17"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Thứ nhất, nghiên cứu sửa đổi, bổ sung Thông tư số 144/2012/TT-BTC nhằm cập nhật các quy định phù hợp với hệ thống pháp luật hiện hành và yêu cầu thực tiễn của hoạt động tương trợ tư pháp.</w:t>
      </w:r>
    </w:p>
    <w:p w14:paraId="51EEA3EA"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Thứ hai, xem xét điều chỉnh mức chi đối với một số nội dung chi trong hoạt động tương trợ tư pháp để phù hợp với mặt bằng giá cả hiện nay và bảo đảm khả năng thực hiện nhiệm vụ.</w:t>
      </w:r>
    </w:p>
    <w:p w14:paraId="4B132BE3" w14:textId="77777777"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Thứ ba, tăng cường tổ chức các lớp tập huấn, hướng dẫn nghiệp vụ cho cán bộ làm công tác tương trợ tư pháp và cán bộ tài chính – kế toán nhằm nâng cao năng lực thực hiện các quy định về quản lý và sử dụng kinh phí.</w:t>
      </w:r>
    </w:p>
    <w:p w14:paraId="3987822D" w14:textId="3DFACF10" w:rsidR="0072339B" w:rsidRPr="0020123B" w:rsidRDefault="0072339B" w:rsidP="00DB0F1B">
      <w:pPr>
        <w:spacing w:before="120" w:after="0" w:line="288" w:lineRule="auto"/>
        <w:ind w:firstLine="720"/>
        <w:jc w:val="both"/>
        <w:rPr>
          <w:rFonts w:eastAsia="Times New Roman" w:cs="Times New Roman"/>
          <w:kern w:val="0"/>
          <w:szCs w:val="28"/>
          <w14:ligatures w14:val="none"/>
        </w:rPr>
      </w:pPr>
      <w:r w:rsidRPr="0020123B">
        <w:rPr>
          <w:rFonts w:eastAsia="Times New Roman" w:cs="Times New Roman"/>
          <w:kern w:val="0"/>
          <w:szCs w:val="28"/>
          <w14:ligatures w14:val="none"/>
        </w:rPr>
        <w:t>Thứ tư, tiếp tục quan tâm bố trí nguồn kinh phí phù hợp để bảo đảm cho việc triển khai hiệu quả các hoạt động tương trợ tư pháp, đáp ứng yêu cầu hội nhập quốc tế và thực thi pháp luật.</w:t>
      </w:r>
      <w:r w:rsidR="008C7C9D">
        <w:rPr>
          <w:rFonts w:eastAsia="Times New Roman" w:cs="Times New Roman"/>
          <w:kern w:val="0"/>
          <w:szCs w:val="28"/>
          <w14:ligatures w14:val="none"/>
        </w:rPr>
        <w:t>/.</w:t>
      </w:r>
      <w:bookmarkEnd w:id="1"/>
    </w:p>
    <w:sectPr w:rsidR="0072339B" w:rsidRPr="0020123B" w:rsidSect="008C7C9D">
      <w:headerReference w:type="default" r:id="rId7"/>
      <w:pgSz w:w="11907" w:h="16840" w:code="9"/>
      <w:pgMar w:top="1191" w:right="1191" w:bottom="1191" w:left="1985"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D3F40B" w14:textId="77777777" w:rsidR="002656BC" w:rsidRDefault="002656BC" w:rsidP="008C7C9D">
      <w:pPr>
        <w:spacing w:after="0" w:line="240" w:lineRule="auto"/>
      </w:pPr>
      <w:r>
        <w:separator/>
      </w:r>
    </w:p>
  </w:endnote>
  <w:endnote w:type="continuationSeparator" w:id="0">
    <w:p w14:paraId="5DED8DFF" w14:textId="77777777" w:rsidR="002656BC" w:rsidRDefault="002656BC" w:rsidP="008C7C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D5CFE7" w14:textId="77777777" w:rsidR="002656BC" w:rsidRDefault="002656BC" w:rsidP="008C7C9D">
      <w:pPr>
        <w:spacing w:after="0" w:line="240" w:lineRule="auto"/>
      </w:pPr>
      <w:r>
        <w:separator/>
      </w:r>
    </w:p>
  </w:footnote>
  <w:footnote w:type="continuationSeparator" w:id="0">
    <w:p w14:paraId="5FCD1A40" w14:textId="77777777" w:rsidR="002656BC" w:rsidRDefault="002656BC" w:rsidP="008C7C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2687874"/>
      <w:docPartObj>
        <w:docPartGallery w:val="Page Numbers (Top of Page)"/>
        <w:docPartUnique/>
      </w:docPartObj>
    </w:sdtPr>
    <w:sdtEndPr>
      <w:rPr>
        <w:noProof/>
      </w:rPr>
    </w:sdtEndPr>
    <w:sdtContent>
      <w:p w14:paraId="3DA794A2" w14:textId="573EEE75" w:rsidR="008C7C9D" w:rsidRDefault="008C7C9D">
        <w:pPr>
          <w:pStyle w:val="Header"/>
          <w:jc w:val="center"/>
        </w:pPr>
        <w:r>
          <w:fldChar w:fldCharType="begin"/>
        </w:r>
        <w:r>
          <w:instrText xml:space="preserve"> PAGE   \* MERGEFORMAT </w:instrText>
        </w:r>
        <w:r>
          <w:fldChar w:fldCharType="separate"/>
        </w:r>
        <w:r w:rsidR="0017484A">
          <w:rPr>
            <w:noProof/>
          </w:rPr>
          <w:t>5</w:t>
        </w:r>
        <w:r>
          <w:rPr>
            <w:noProof/>
          </w:rPr>
          <w:fldChar w:fldCharType="end"/>
        </w:r>
      </w:p>
    </w:sdtContent>
  </w:sdt>
  <w:p w14:paraId="22F9571A" w14:textId="77777777" w:rsidR="008C7C9D" w:rsidRDefault="008C7C9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B4424"/>
    <w:multiLevelType w:val="multilevel"/>
    <w:tmpl w:val="A83A6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955A3C"/>
    <w:multiLevelType w:val="multilevel"/>
    <w:tmpl w:val="08D89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950B1C"/>
    <w:multiLevelType w:val="multilevel"/>
    <w:tmpl w:val="DE365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EE2B66"/>
    <w:multiLevelType w:val="multilevel"/>
    <w:tmpl w:val="4336F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EA7161"/>
    <w:multiLevelType w:val="multilevel"/>
    <w:tmpl w:val="EB5EF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822E1F"/>
    <w:multiLevelType w:val="multilevel"/>
    <w:tmpl w:val="479ED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5A6CD9"/>
    <w:multiLevelType w:val="multilevel"/>
    <w:tmpl w:val="40266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9F0351"/>
    <w:multiLevelType w:val="multilevel"/>
    <w:tmpl w:val="CCE87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424426"/>
    <w:multiLevelType w:val="multilevel"/>
    <w:tmpl w:val="6E982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AF0213"/>
    <w:multiLevelType w:val="multilevel"/>
    <w:tmpl w:val="7DEA0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7170DD"/>
    <w:multiLevelType w:val="multilevel"/>
    <w:tmpl w:val="43884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054398"/>
    <w:multiLevelType w:val="multilevel"/>
    <w:tmpl w:val="CA769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6"/>
  </w:num>
  <w:num w:numId="3">
    <w:abstractNumId w:val="8"/>
  </w:num>
  <w:num w:numId="4">
    <w:abstractNumId w:val="1"/>
  </w:num>
  <w:num w:numId="5">
    <w:abstractNumId w:val="9"/>
  </w:num>
  <w:num w:numId="6">
    <w:abstractNumId w:val="5"/>
  </w:num>
  <w:num w:numId="7">
    <w:abstractNumId w:val="0"/>
  </w:num>
  <w:num w:numId="8">
    <w:abstractNumId w:val="3"/>
  </w:num>
  <w:num w:numId="9">
    <w:abstractNumId w:val="7"/>
  </w:num>
  <w:num w:numId="10">
    <w:abstractNumId w:val="4"/>
  </w:num>
  <w:num w:numId="11">
    <w:abstractNumId w:val="2"/>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39B"/>
    <w:rsid w:val="0017484A"/>
    <w:rsid w:val="0020123B"/>
    <w:rsid w:val="002656BC"/>
    <w:rsid w:val="004F123B"/>
    <w:rsid w:val="005B291B"/>
    <w:rsid w:val="005F72CA"/>
    <w:rsid w:val="006B4131"/>
    <w:rsid w:val="006C6468"/>
    <w:rsid w:val="006D2EDB"/>
    <w:rsid w:val="0072339B"/>
    <w:rsid w:val="008C7C9D"/>
    <w:rsid w:val="00AC0A32"/>
    <w:rsid w:val="00B82F78"/>
    <w:rsid w:val="00C307F0"/>
    <w:rsid w:val="00DB0F1B"/>
    <w:rsid w:val="00E127EA"/>
    <w:rsid w:val="00F679BA"/>
    <w:rsid w:val="00FA5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F4108"/>
  <w15:chartTrackingRefBased/>
  <w15:docId w15:val="{1F30FAB0-BB7F-42F7-9789-962D33945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2339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2339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2339B"/>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Heading4">
    <w:name w:val="heading 4"/>
    <w:basedOn w:val="Normal"/>
    <w:next w:val="Normal"/>
    <w:link w:val="Heading4Char"/>
    <w:uiPriority w:val="9"/>
    <w:semiHidden/>
    <w:unhideWhenUsed/>
    <w:qFormat/>
    <w:rsid w:val="0072339B"/>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72339B"/>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72339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2339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2339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2339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339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2339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2339B"/>
    <w:rPr>
      <w:rFonts w:asciiTheme="minorHAnsi" w:eastAsiaTheme="majorEastAsia" w:hAnsiTheme="minorHAnsi" w:cstheme="majorBidi"/>
      <w:color w:val="2F5496" w:themeColor="accent1" w:themeShade="BF"/>
      <w:szCs w:val="28"/>
    </w:rPr>
  </w:style>
  <w:style w:type="character" w:customStyle="1" w:styleId="Heading4Char">
    <w:name w:val="Heading 4 Char"/>
    <w:basedOn w:val="DefaultParagraphFont"/>
    <w:link w:val="Heading4"/>
    <w:uiPriority w:val="9"/>
    <w:semiHidden/>
    <w:rsid w:val="0072339B"/>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72339B"/>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72339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2339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2339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2339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233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33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339B"/>
    <w:pPr>
      <w:numPr>
        <w:ilvl w:val="1"/>
      </w:numPr>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72339B"/>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72339B"/>
    <w:pPr>
      <w:spacing w:before="160"/>
      <w:jc w:val="center"/>
    </w:pPr>
    <w:rPr>
      <w:i/>
      <w:iCs/>
      <w:color w:val="404040" w:themeColor="text1" w:themeTint="BF"/>
    </w:rPr>
  </w:style>
  <w:style w:type="character" w:customStyle="1" w:styleId="QuoteChar">
    <w:name w:val="Quote Char"/>
    <w:basedOn w:val="DefaultParagraphFont"/>
    <w:link w:val="Quote"/>
    <w:uiPriority w:val="29"/>
    <w:rsid w:val="0072339B"/>
    <w:rPr>
      <w:i/>
      <w:iCs/>
      <w:color w:val="404040" w:themeColor="text1" w:themeTint="BF"/>
    </w:rPr>
  </w:style>
  <w:style w:type="paragraph" w:styleId="ListParagraph">
    <w:name w:val="List Paragraph"/>
    <w:basedOn w:val="Normal"/>
    <w:uiPriority w:val="34"/>
    <w:qFormat/>
    <w:rsid w:val="0072339B"/>
    <w:pPr>
      <w:ind w:left="720"/>
      <w:contextualSpacing/>
    </w:pPr>
  </w:style>
  <w:style w:type="character" w:styleId="IntenseEmphasis">
    <w:name w:val="Intense Emphasis"/>
    <w:basedOn w:val="DefaultParagraphFont"/>
    <w:uiPriority w:val="21"/>
    <w:qFormat/>
    <w:rsid w:val="0072339B"/>
    <w:rPr>
      <w:i/>
      <w:iCs/>
      <w:color w:val="2F5496" w:themeColor="accent1" w:themeShade="BF"/>
    </w:rPr>
  </w:style>
  <w:style w:type="paragraph" w:styleId="IntenseQuote">
    <w:name w:val="Intense Quote"/>
    <w:basedOn w:val="Normal"/>
    <w:next w:val="Normal"/>
    <w:link w:val="IntenseQuoteChar"/>
    <w:uiPriority w:val="30"/>
    <w:qFormat/>
    <w:rsid w:val="0072339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2339B"/>
    <w:rPr>
      <w:i/>
      <w:iCs/>
      <w:color w:val="2F5496" w:themeColor="accent1" w:themeShade="BF"/>
    </w:rPr>
  </w:style>
  <w:style w:type="character" w:styleId="IntenseReference">
    <w:name w:val="Intense Reference"/>
    <w:basedOn w:val="DefaultParagraphFont"/>
    <w:uiPriority w:val="32"/>
    <w:qFormat/>
    <w:rsid w:val="0072339B"/>
    <w:rPr>
      <w:b/>
      <w:bCs/>
      <w:smallCaps/>
      <w:color w:val="2F5496" w:themeColor="accent1" w:themeShade="BF"/>
      <w:spacing w:val="5"/>
    </w:rPr>
  </w:style>
  <w:style w:type="paragraph" w:styleId="Header">
    <w:name w:val="header"/>
    <w:basedOn w:val="Normal"/>
    <w:link w:val="HeaderChar"/>
    <w:uiPriority w:val="99"/>
    <w:unhideWhenUsed/>
    <w:rsid w:val="008C7C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7C9D"/>
  </w:style>
  <w:style w:type="paragraph" w:styleId="Footer">
    <w:name w:val="footer"/>
    <w:basedOn w:val="Normal"/>
    <w:link w:val="FooterChar"/>
    <w:uiPriority w:val="99"/>
    <w:unhideWhenUsed/>
    <w:rsid w:val="008C7C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7C9D"/>
  </w:style>
  <w:style w:type="paragraph" w:styleId="BodyText">
    <w:name w:val="Body Text"/>
    <w:basedOn w:val="Normal"/>
    <w:link w:val="BodyTextChar"/>
    <w:rsid w:val="00AC0A32"/>
    <w:pPr>
      <w:spacing w:before="100" w:beforeAutospacing="1" w:after="0" w:line="240" w:lineRule="auto"/>
      <w:jc w:val="both"/>
    </w:pPr>
    <w:rPr>
      <w:rFonts w:ascii=".VnTime" w:eastAsia="Times New Roman" w:hAnsi=".VnTime" w:cs="Times New Roman"/>
      <w:kern w:val="0"/>
      <w:szCs w:val="20"/>
      <w14:ligatures w14:val="none"/>
    </w:rPr>
  </w:style>
  <w:style w:type="character" w:customStyle="1" w:styleId="BodyTextChar">
    <w:name w:val="Body Text Char"/>
    <w:basedOn w:val="DefaultParagraphFont"/>
    <w:link w:val="BodyText"/>
    <w:rsid w:val="00AC0A32"/>
    <w:rPr>
      <w:rFonts w:ascii=".VnTime" w:eastAsia="Times New Roman" w:hAnsi=".VnTime" w:cs="Times New Roman"/>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1581</Words>
  <Characters>9017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Hồng Nhung Nguyễn</dc:creator>
  <cp:keywords/>
  <dc:description/>
  <cp:lastModifiedBy>admin</cp:lastModifiedBy>
  <cp:revision>2</cp:revision>
  <dcterms:created xsi:type="dcterms:W3CDTF">2026-03-27T07:37:00Z</dcterms:created>
  <dcterms:modified xsi:type="dcterms:W3CDTF">2026-03-27T07:37:00Z</dcterms:modified>
</cp:coreProperties>
</file>