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1"/>
        <w:gridCol w:w="4543"/>
      </w:tblGrid>
      <w:tr w:rsidR="00C429EF" w14:paraId="2C78FAEC" w14:textId="77777777" w:rsidTr="00C429EF">
        <w:tc>
          <w:tcPr>
            <w:tcW w:w="4645" w:type="dxa"/>
          </w:tcPr>
          <w:p w14:paraId="1DA99BB6" w14:textId="592C0364" w:rsidR="00C429EF" w:rsidRPr="00C429EF" w:rsidRDefault="00C429EF">
            <w:pPr>
              <w:rPr>
                <w:b/>
              </w:rPr>
            </w:pPr>
            <w:r w:rsidRPr="00C429EF">
              <w:rPr>
                <w:b/>
              </w:rPr>
              <w:t>BỘ CÔNG AN</w:t>
            </w:r>
          </w:p>
          <w:p w14:paraId="0EC74560" w14:textId="569AA1FC" w:rsidR="00C429EF" w:rsidRDefault="00AB4988">
            <w:r>
              <w:rPr>
                <w:noProof/>
              </w:rPr>
              <mc:AlternateContent>
                <mc:Choice Requires="wps">
                  <w:drawing>
                    <wp:anchor distT="0" distB="0" distL="114300" distR="114300" simplePos="0" relativeHeight="251658752" behindDoc="0" locked="0" layoutInCell="1" allowOverlap="1" wp14:anchorId="400F2D54" wp14:editId="1D3975E9">
                      <wp:simplePos x="0" y="0"/>
                      <wp:positionH relativeFrom="column">
                        <wp:posOffset>8558</wp:posOffset>
                      </wp:positionH>
                      <wp:positionV relativeFrom="paragraph">
                        <wp:posOffset>138430</wp:posOffset>
                      </wp:positionV>
                      <wp:extent cx="1000125" cy="323215"/>
                      <wp:effectExtent l="8890" t="12065" r="10160" b="7620"/>
                      <wp:wrapNone/>
                      <wp:docPr id="6"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00125" cy="323215"/>
                              </a:xfrm>
                              <a:prstGeom prst="rect">
                                <a:avLst/>
                              </a:prstGeom>
                              <a:solidFill>
                                <a:srgbClr val="FFFFFF"/>
                              </a:solidFill>
                              <a:ln w="9525">
                                <a:solidFill>
                                  <a:srgbClr val="000000"/>
                                </a:solidFill>
                                <a:miter lim="800000"/>
                                <a:headEnd/>
                                <a:tailEnd/>
                              </a:ln>
                            </wps:spPr>
                            <wps:txbx>
                              <w:txbxContent>
                                <w:p w14:paraId="1D28F721" w14:textId="77777777" w:rsidR="00AB4988" w:rsidRPr="0056491E" w:rsidRDefault="00AB4988" w:rsidP="00AB4988">
                                  <w:pPr>
                                    <w:jc w:val="center"/>
                                    <w:rPr>
                                      <w:rFonts w:cs="Times New Roman"/>
                                      <w:spacing w:val="-4"/>
                                    </w:rPr>
                                  </w:pPr>
                                  <w:r w:rsidRPr="0056491E">
                                    <w:rPr>
                                      <w:rFonts w:cs="Times New Roman"/>
                                      <w:spacing w:val="-4"/>
                                    </w:rPr>
                                    <w:t>DỰ THẢO</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00F2D54" id="Rectangle 6" o:spid="_x0000_s1026" style="position:absolute;margin-left:.65pt;margin-top:10.9pt;width:78.75pt;height:25.4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">
                      <v:textbox>
                        <w:txbxContent>
                          <w:p w14:paraId="1D28F721" w14:textId="77777777" w:rsidR="00AB4988" w:rsidRPr="0056491E" w:rsidRDefault="00AB4988" w:rsidP="00AB4988">
                            <w:pPr>
                              <w:jc w:val="center"/>
                              <w:rPr>
                                <w:rFonts w:cs="Times New Roman"/>
                                <w:spacing w:val="-4"/>
                              </w:rPr>
                            </w:pPr>
                            <w:r w:rsidRPr="0056491E">
                              <w:rPr>
                                <w:rFonts w:cs="Times New Roman"/>
                                <w:spacing w:val="-4"/>
                              </w:rPr>
                              <w:t>DỰ THẢO</w:t>
                            </w:r>
                          </w:p>
                        </w:txbxContent>
                      </v:textbox>
                    </v:rect>
                  </w:pict>
                </mc:Fallback>
              </mc:AlternateContent>
            </w:r>
            <w:r w:rsidR="00C429EF">
              <w:rPr>
                <w:noProof/>
              </w:rPr>
              <mc:AlternateContent>
                <mc:Choice Requires="wps">
                  <w:drawing>
                    <wp:anchor distT="0" distB="0" distL="114300" distR="114300" simplePos="0" relativeHeight="251656704" behindDoc="0" locked="0" layoutInCell="1" allowOverlap="1" wp14:anchorId="1ADFCFF5" wp14:editId="01E0C02E">
                      <wp:simplePos x="0" y="0"/>
                      <wp:positionH relativeFrom="column">
                        <wp:posOffset>257175</wp:posOffset>
                      </wp:positionH>
                      <wp:positionV relativeFrom="paragraph">
                        <wp:posOffset>23836</wp:posOffset>
                      </wp:positionV>
                      <wp:extent cx="572770" cy="0"/>
                      <wp:effectExtent l="0" t="0" r="17780" b="19050"/>
                      <wp:wrapNone/>
                      <wp:docPr id="1" name="Straight Connector 1"/>
                      <wp:cNvGraphicFramePr/>
                      <a:graphic xmlns:a="http://schemas.openxmlformats.org/drawingml/2006/main">
                        <a:graphicData uri="http://schemas.microsoft.com/office/word/2010/wordprocessingShape">
                          <wps:wsp>
                            <wps:cNvCnPr/>
                            <wps:spPr>
                              <a:xfrm>
                                <a:off x="0" y="0"/>
                                <a:ext cx="57277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0BAE583F" id="Straight Connector 1" o:spid="_x0000_s1026" style="position:absolute;z-index:251656704;visibility:visible;mso-wrap-style:square;mso-wrap-distance-left:9pt;mso-wrap-distance-top:0;mso-wrap-distance-right:9pt;mso-wrap-distance-bottom:0;mso-position-horizontal:absolute;mso-position-horizontal-relative:text;mso-position-vertical:absolute;mso-position-vertical-relative:text" from="20.25pt,1.9pt" to="65.35pt,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" strokecolor="black [3040]"/>
                  </w:pict>
                </mc:Fallback>
              </mc:AlternateContent>
            </w:r>
          </w:p>
        </w:tc>
        <w:tc>
          <w:tcPr>
            <w:tcW w:w="4645" w:type="dxa"/>
          </w:tcPr>
          <w:p w14:paraId="0DBD2674" w14:textId="77777777" w:rsidR="00C429EF" w:rsidRPr="00C429EF" w:rsidRDefault="00C429EF" w:rsidP="00C429EF">
            <w:pPr>
              <w:jc w:val="right"/>
              <w:rPr>
                <w:b/>
                <w:i/>
              </w:rPr>
            </w:pPr>
            <w:r w:rsidRPr="00C429EF">
              <w:rPr>
                <w:b/>
                <w:i/>
              </w:rPr>
              <w:t>Mẫu số 01/ĐGTĐ-BC</w:t>
            </w:r>
          </w:p>
        </w:tc>
      </w:tr>
    </w:tbl>
    <w:p w14:paraId="383EEDDA" w14:textId="46055BAC" w:rsidR="00566A39" w:rsidRDefault="00566A39"/>
    <w:p w14:paraId="61378DEC" w14:textId="63D4CAE0" w:rsidR="00C429EF" w:rsidRPr="00C429EF" w:rsidRDefault="00C429EF" w:rsidP="005E7AC3">
      <w:pPr>
        <w:spacing w:after="0" w:line="340" w:lineRule="exact"/>
        <w:jc w:val="center"/>
        <w:rPr>
          <w:b/>
        </w:rPr>
      </w:pPr>
      <w:r w:rsidRPr="00C429EF">
        <w:rPr>
          <w:b/>
        </w:rPr>
        <w:t>BẢ</w:t>
      </w:r>
      <w:r w:rsidR="006E2B9B">
        <w:rPr>
          <w:b/>
        </w:rPr>
        <w:t xml:space="preserve">N ĐÁNH GIÁ TÁC ĐỘNG </w:t>
      </w:r>
      <w:r w:rsidRPr="00C429EF">
        <w:rPr>
          <w:b/>
        </w:rPr>
        <w:t>THỦ TỤC HÀNH CHÍNH CỦA</w:t>
      </w:r>
    </w:p>
    <w:p w14:paraId="2B4C8CBF" w14:textId="77777777" w:rsidR="005E7AC3" w:rsidRDefault="00522516" w:rsidP="005E7AC3">
      <w:pPr>
        <w:spacing w:after="0" w:line="340" w:lineRule="exact"/>
        <w:jc w:val="center"/>
        <w:rPr>
          <w:rFonts w:cs="Times New Roman"/>
          <w:b/>
          <w:szCs w:val="28"/>
        </w:rPr>
      </w:pPr>
      <w:r w:rsidRPr="00AD49A6">
        <w:rPr>
          <w:rFonts w:eastAsia="Times New Roman" w:cs="Times New Roman"/>
          <w:b/>
          <w:szCs w:val="28"/>
        </w:rPr>
        <w:t>Dự thảo</w:t>
      </w:r>
      <w:r w:rsidRPr="00B03F23">
        <w:rPr>
          <w:rFonts w:eastAsia="Times New Roman" w:cs="Times New Roman"/>
          <w:b/>
          <w:szCs w:val="28"/>
        </w:rPr>
        <w:t xml:space="preserve"> </w:t>
      </w:r>
      <w:r w:rsidRPr="00AD49A6">
        <w:rPr>
          <w:rFonts w:eastAsia="Times New Roman" w:cs="Times New Roman"/>
          <w:b/>
          <w:szCs w:val="28"/>
        </w:rPr>
        <w:t xml:space="preserve">Nghị định </w:t>
      </w:r>
      <w:r w:rsidRPr="00AD49A6">
        <w:rPr>
          <w:rFonts w:cs="Times New Roman"/>
          <w:b/>
          <w:szCs w:val="28"/>
        </w:rPr>
        <w:t>v</w:t>
      </w:r>
      <w:r w:rsidRPr="00216A2C">
        <w:rPr>
          <w:rFonts w:cs="Times New Roman"/>
          <w:b/>
          <w:szCs w:val="28"/>
        </w:rPr>
        <w:t>ề quản lý, bảo đảm an ninh</w:t>
      </w:r>
      <w:r>
        <w:rPr>
          <w:rFonts w:cs="Times New Roman"/>
          <w:b/>
          <w:szCs w:val="28"/>
        </w:rPr>
        <w:t>,</w:t>
      </w:r>
      <w:r w:rsidRPr="00216A2C">
        <w:rPr>
          <w:rFonts w:cs="Times New Roman"/>
          <w:b/>
          <w:szCs w:val="28"/>
        </w:rPr>
        <w:t xml:space="preserve"> trật tự</w:t>
      </w:r>
    </w:p>
    <w:p w14:paraId="32C05873" w14:textId="0D7A3673" w:rsidR="00522516" w:rsidRDefault="00522516" w:rsidP="005E7AC3">
      <w:pPr>
        <w:spacing w:after="0" w:line="340" w:lineRule="exact"/>
        <w:jc w:val="center"/>
        <w:rPr>
          <w:rFonts w:cs="Times New Roman"/>
          <w:b/>
          <w:szCs w:val="28"/>
        </w:rPr>
      </w:pPr>
      <w:r w:rsidRPr="00216A2C">
        <w:rPr>
          <w:rFonts w:cs="Times New Roman"/>
          <w:b/>
          <w:szCs w:val="28"/>
        </w:rPr>
        <w:t xml:space="preserve">tại cửa khẩu </w:t>
      </w:r>
      <w:r>
        <w:rPr>
          <w:rFonts w:cs="Times New Roman"/>
          <w:b/>
          <w:szCs w:val="28"/>
        </w:rPr>
        <w:t>cảng do Bộ Công an quản lý</w:t>
      </w:r>
    </w:p>
    <w:p w14:paraId="180DFE2F" w14:textId="7B12CD84" w:rsidR="00C429EF" w:rsidRPr="005E7AC3" w:rsidRDefault="005E7AC3" w:rsidP="005E7AC3">
      <w:pPr>
        <w:spacing w:before="480" w:after="120" w:line="360" w:lineRule="exact"/>
        <w:ind w:firstLine="720"/>
        <w:jc w:val="both"/>
        <w:rPr>
          <w:b/>
          <w:szCs w:val="28"/>
        </w:rPr>
      </w:pPr>
      <w:r>
        <w:rPr>
          <w:b/>
          <w:noProof/>
          <w:szCs w:val="28"/>
        </w:rPr>
        <mc:AlternateContent>
          <mc:Choice Requires="wps">
            <w:drawing>
              <wp:anchor distT="0" distB="0" distL="114300" distR="114300" simplePos="0" relativeHeight="251660288" behindDoc="0" locked="0" layoutInCell="1" allowOverlap="1" wp14:anchorId="19555E1B" wp14:editId="7B07FDEF">
                <wp:simplePos x="0" y="0"/>
                <wp:positionH relativeFrom="column">
                  <wp:posOffset>2120265</wp:posOffset>
                </wp:positionH>
                <wp:positionV relativeFrom="paragraph">
                  <wp:posOffset>42545</wp:posOffset>
                </wp:positionV>
                <wp:extent cx="1809750" cy="0"/>
                <wp:effectExtent l="0" t="0" r="19050" b="19050"/>
                <wp:wrapNone/>
                <wp:docPr id="2" name="Straight Connector 2"/>
                <wp:cNvGraphicFramePr/>
                <a:graphic xmlns:a="http://schemas.openxmlformats.org/drawingml/2006/main">
                  <a:graphicData uri="http://schemas.microsoft.com/office/word/2010/wordprocessingShape">
                    <wps:wsp>
                      <wps:cNvCnPr/>
                      <wps:spPr>
                        <a:xfrm>
                          <a:off x="0" y="0"/>
                          <a:ext cx="180975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14AD87DA" id="Straight Connector 2"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166.95pt,3.35pt" to="309.45pt,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" strokecolor="black [3040]"/>
            </w:pict>
          </mc:Fallback>
        </mc:AlternateContent>
      </w:r>
      <w:r w:rsidR="00C429EF" w:rsidRPr="005E7AC3">
        <w:rPr>
          <w:b/>
          <w:szCs w:val="28"/>
        </w:rPr>
        <w:t>I. Xác định vấn đề tổng quan</w:t>
      </w:r>
    </w:p>
    <w:p w14:paraId="6BDD12B6" w14:textId="17A17191" w:rsidR="00522516" w:rsidRPr="005E7AC3" w:rsidRDefault="00522516" w:rsidP="005E7AC3">
      <w:pPr>
        <w:tabs>
          <w:tab w:val="left" w:pos="3828"/>
        </w:tabs>
        <w:spacing w:before="120" w:after="120" w:line="360" w:lineRule="exact"/>
        <w:ind w:firstLine="720"/>
        <w:jc w:val="both"/>
        <w:rPr>
          <w:rFonts w:cs="Times New Roman"/>
          <w:szCs w:val="28"/>
        </w:rPr>
      </w:pPr>
      <w:r w:rsidRPr="005E7AC3">
        <w:rPr>
          <w:rFonts w:cs="Times New Roman"/>
          <w:szCs w:val="28"/>
        </w:rPr>
        <w:t>Việt Nam có đường bờ biển dài hơn 3.000 km có 44 cửa khẩu cảng (283 cản</w:t>
      </w:r>
      <w:bookmarkStart w:id="0" w:name="_GoBack"/>
      <w:bookmarkEnd w:id="0"/>
      <w:r w:rsidRPr="005E7AC3">
        <w:rPr>
          <w:rFonts w:cs="Times New Roman"/>
          <w:szCs w:val="28"/>
        </w:rPr>
        <w:t>g, cầu cảng, bến neo đậu, khu vực chuyển tải, 14 cảng dầu khí ngoài khơi), trong đó Bộ Quốc phòng quản lý 38 cửa khẩu cảng</w:t>
      </w:r>
      <w:r w:rsidRPr="005E7AC3">
        <w:rPr>
          <w:rStyle w:val="FootnoteReference"/>
          <w:rFonts w:cs="Times New Roman"/>
          <w:szCs w:val="28"/>
        </w:rPr>
        <w:footnoteReference w:id="1"/>
      </w:r>
      <w:r w:rsidR="008F0172">
        <w:rPr>
          <w:rFonts w:cs="Times New Roman"/>
          <w:szCs w:val="28"/>
        </w:rPr>
        <w:t>, lực lượng Công an nhân dân</w:t>
      </w:r>
      <w:r w:rsidRPr="005E7AC3">
        <w:rPr>
          <w:rFonts w:cs="Times New Roman"/>
          <w:szCs w:val="28"/>
        </w:rPr>
        <w:t xml:space="preserve"> quản lý 04 cửa khẩu cảng (01 cửa khẩu cảng thủy nội địa Mỹ Tho; 03 cửa khẩu cảng biển Vĩnh Long, Hậu Giang, Cần Thơ), cụ thể như sau:</w:t>
      </w:r>
    </w:p>
    <w:p w14:paraId="1B23AE74" w14:textId="77777777" w:rsidR="00522516" w:rsidRPr="005E7AC3" w:rsidRDefault="00522516" w:rsidP="005E7AC3">
      <w:pPr>
        <w:spacing w:before="120" w:after="120" w:line="360" w:lineRule="exact"/>
        <w:ind w:firstLine="720"/>
        <w:jc w:val="both"/>
        <w:rPr>
          <w:rFonts w:cs="Times New Roman"/>
          <w:szCs w:val="28"/>
        </w:rPr>
      </w:pPr>
      <w:r w:rsidRPr="005E7AC3">
        <w:rPr>
          <w:rFonts w:cs="Times New Roman"/>
          <w:szCs w:val="28"/>
        </w:rPr>
        <w:t xml:space="preserve">- Cảng thủy nội địa Mỹ Tho thuộc tỉnh Đồng Tháp nằm trong khu công nghiệp Mỹ Tho, trong đó bao gồm 02 khu vực riêng biệt là khu xếp dỡ hàng hóa tổng hợp và bến cảng thủy nội địa. Vùng nước của cảng rộng, có nhiều vị trí neo đậu đối với tàu thuyền. Cảng Mỹ Tho là nơi có tàu, thuyền trong và ngoài nước, các phương tiện thủy nội địa, phương tiện bộ thường xuyên ra vào để bốc dỡ hàng hóa, trả, đón khách du lịch. Tuyến đường sông Mỹ Tho- Phnom Penh (Campuchia) là tuyến hoạt động tàu khách du lịch trong và ngoài nước đến, rời cảng đều đặn hàng ngày. </w:t>
      </w:r>
    </w:p>
    <w:p w14:paraId="42E865FE" w14:textId="77777777" w:rsidR="00522516" w:rsidRPr="005E7AC3" w:rsidRDefault="00522516" w:rsidP="005E7AC3">
      <w:pPr>
        <w:spacing w:before="120" w:after="120" w:line="360" w:lineRule="exact"/>
        <w:ind w:firstLine="720"/>
        <w:jc w:val="both"/>
        <w:rPr>
          <w:rFonts w:cs="Times New Roman"/>
          <w:szCs w:val="28"/>
        </w:rPr>
      </w:pPr>
      <w:r w:rsidRPr="005E7AC3">
        <w:rPr>
          <w:rFonts w:cs="Times New Roman"/>
          <w:szCs w:val="28"/>
        </w:rPr>
        <w:t>- Cảng biển</w:t>
      </w:r>
      <w:r w:rsidRPr="005E7AC3">
        <w:rPr>
          <w:rFonts w:cs="Times New Roman"/>
          <w:b/>
          <w:szCs w:val="28"/>
        </w:rPr>
        <w:t xml:space="preserve"> </w:t>
      </w:r>
      <w:r w:rsidRPr="005E7AC3">
        <w:rPr>
          <w:rFonts w:cs="Times New Roman"/>
          <w:szCs w:val="28"/>
        </w:rPr>
        <w:t>Vĩnh Long thuộc tỉnh Vĩnh Long</w:t>
      </w:r>
      <w:r w:rsidRPr="005E7AC3">
        <w:rPr>
          <w:rFonts w:cs="Times New Roman"/>
          <w:b/>
          <w:szCs w:val="28"/>
        </w:rPr>
        <w:t xml:space="preserve"> </w:t>
      </w:r>
      <w:r w:rsidRPr="005E7AC3">
        <w:rPr>
          <w:rFonts w:cs="Times New Roman"/>
          <w:szCs w:val="28"/>
        </w:rPr>
        <w:t>là cảng hàng hóa gồm các bến Vĩnh Thái, Mình Binh, nằm trong luồng sông Cổ Chiên và sông Tiền, luồng nước cạn cho nên trong thời gian qua không có tàu quốc tế đến neo đậu, chỉ có tàu thủy nội địa vận chuyển hàng hóa ra vào cảng, đây là cảng biển có khả năng tiếp nhận tàu từ 5.000 tấn đến 20.000 tấn.</w:t>
      </w:r>
    </w:p>
    <w:p w14:paraId="689D908C" w14:textId="77777777" w:rsidR="00522516" w:rsidRPr="005E7AC3" w:rsidRDefault="00522516" w:rsidP="005E7AC3">
      <w:pPr>
        <w:spacing w:before="120" w:after="120" w:line="360" w:lineRule="exact"/>
        <w:ind w:firstLine="720"/>
        <w:jc w:val="both"/>
        <w:rPr>
          <w:rFonts w:cs="Times New Roman"/>
          <w:szCs w:val="28"/>
        </w:rPr>
      </w:pPr>
      <w:r w:rsidRPr="005E7AC3">
        <w:rPr>
          <w:rFonts w:cs="Times New Roman"/>
          <w:szCs w:val="28"/>
        </w:rPr>
        <w:lastRenderedPageBreak/>
        <w:t>- Cảng biển Cần Thơ thuộc thành phố Cần Thơ nằm dọc theo sông Hậu, là một trong các cảng quan trọng trong hệ thống logistics đường thủy của vùng Đồng bằng sông Cửu Long, với vị trí trung tâm vùng Tây Nam Bộ, đây là cửa ngõ quan trọng kết nối hàng hóa từ các tỉnh lân cận ra thế giới, là nơi tập kết và xuất khẩu các mặt hàng thế mạnh của miền Tây như gạo, thủy sản, trái cây, nông sản chế biến…</w:t>
      </w:r>
    </w:p>
    <w:p w14:paraId="7FBF2B70" w14:textId="77777777" w:rsidR="00522516" w:rsidRPr="005E7AC3" w:rsidRDefault="00522516" w:rsidP="005E7AC3">
      <w:pPr>
        <w:spacing w:before="120" w:after="120" w:line="360" w:lineRule="exact"/>
        <w:ind w:firstLine="720"/>
        <w:jc w:val="both"/>
        <w:rPr>
          <w:rFonts w:cs="Times New Roman"/>
          <w:szCs w:val="28"/>
        </w:rPr>
      </w:pPr>
      <w:r w:rsidRPr="005E7AC3">
        <w:rPr>
          <w:rFonts w:cs="Times New Roman"/>
          <w:szCs w:val="28"/>
        </w:rPr>
        <w:t>- Cảng biển Hậu Giang là cảng tổng hợp nằm trong Khu công nghiệp sông Hậu với vị trí nằm bờ phải sông Hậu, có vị trí chiến lược quan trọng và hệ thống giao thông thủy, bộ thuận lợi, kết nối với các tuyến đường quốc lộ, đường cao tốc và các tuyến sông chính trong khu vực. Cảng Hậu Giang có thể tiếp nhận tàu trọng tải cỡ lớn lên đến 20.000 tấn, tạo điều kiện thuận lợi cho việc xuất nhập khẩu hàng hóa.</w:t>
      </w:r>
    </w:p>
    <w:p w14:paraId="63F26D0F" w14:textId="77777777" w:rsidR="00522516" w:rsidRPr="005E7AC3" w:rsidRDefault="00522516" w:rsidP="005E7AC3">
      <w:pPr>
        <w:pStyle w:val="NormalWeb"/>
        <w:widowControl w:val="0"/>
        <w:tabs>
          <w:tab w:val="left" w:pos="567"/>
          <w:tab w:val="left" w:pos="3544"/>
        </w:tabs>
        <w:spacing w:before="120" w:beforeAutospacing="0" w:after="120" w:afterAutospacing="0" w:line="360" w:lineRule="exact"/>
        <w:ind w:firstLine="720"/>
        <w:jc w:val="both"/>
        <w:rPr>
          <w:sz w:val="28"/>
          <w:szCs w:val="28"/>
          <w:lang w:val="en-US"/>
        </w:rPr>
      </w:pPr>
      <w:r w:rsidRPr="005E7AC3">
        <w:rPr>
          <w:b/>
          <w:sz w:val="28"/>
          <w:szCs w:val="28"/>
          <w:lang w:val="en-US"/>
        </w:rPr>
        <w:t xml:space="preserve">- </w:t>
      </w:r>
      <w:r w:rsidRPr="005E7AC3">
        <w:rPr>
          <w:sz w:val="28"/>
          <w:szCs w:val="28"/>
          <w:lang w:val="en-US"/>
        </w:rPr>
        <w:t>Thời điểm thành lập cảng biển tại các tỉnh, thành phố Cần Thơ, Vĩnh Long, Đồng Tháp, do yêu cầu công tác hoặc chưa có lực lượng Bộ đội Biên phòng, Ủy ban nhân dân các địa phương trên đã giao Công an tỉnh, thành phố (Phòng Quản lý xuất nhập cảnh) tổ chức lực lượng làm nhiệm vụ tại các cảng biển. Căn cứ văn bản đề nghị của Ủy ban nhân dân, Bộ Công an đã ra quyết định thành lập Trạm Công an cửa khẩu.</w:t>
      </w:r>
    </w:p>
    <w:p w14:paraId="664EBE93" w14:textId="77777777" w:rsidR="00522516" w:rsidRPr="005E7AC3" w:rsidRDefault="00522516" w:rsidP="005E7AC3">
      <w:pPr>
        <w:pStyle w:val="NormalWeb"/>
        <w:widowControl w:val="0"/>
        <w:tabs>
          <w:tab w:val="left" w:pos="567"/>
          <w:tab w:val="left" w:pos="3544"/>
        </w:tabs>
        <w:spacing w:before="120" w:beforeAutospacing="0" w:after="120" w:afterAutospacing="0" w:line="360" w:lineRule="exact"/>
        <w:ind w:firstLine="720"/>
        <w:jc w:val="both"/>
        <w:rPr>
          <w:sz w:val="28"/>
          <w:szCs w:val="28"/>
          <w:lang w:val="en-US"/>
        </w:rPr>
      </w:pPr>
      <w:r w:rsidRPr="005E7AC3">
        <w:rPr>
          <w:sz w:val="28"/>
          <w:szCs w:val="28"/>
          <w:lang w:val="en-US"/>
        </w:rPr>
        <w:t xml:space="preserve">Về cơ bản, chức năng, nhiệm vụ, quyền hạn của Trạm Công an cửa khẩu cảng tương tự như Đồn Biên phòng cửa khẩu cảng. Tuy nhiên, các văn bản quy phạm pháp luật hiện hành như Nghị định số 58/2017/NĐ-CP </w:t>
      </w:r>
      <w:r w:rsidRPr="005E7AC3">
        <w:rPr>
          <w:sz w:val="28"/>
          <w:szCs w:val="28"/>
        </w:rPr>
        <w:t>ngày 10/5/2017 của Chính phủ quy định chi tiết một số điều của Bộ luật Hàng hải Việt Nam</w:t>
      </w:r>
      <w:r w:rsidRPr="005E7AC3">
        <w:rPr>
          <w:sz w:val="28"/>
          <w:szCs w:val="28"/>
          <w:lang w:val="en-US"/>
        </w:rPr>
        <w:t xml:space="preserve">, Nghị định số 77/2017/NĐ-CP </w:t>
      </w:r>
      <w:r w:rsidRPr="005E7AC3">
        <w:rPr>
          <w:sz w:val="28"/>
          <w:szCs w:val="28"/>
        </w:rPr>
        <w:t>ngày 03/7/2017</w:t>
      </w:r>
      <w:r w:rsidRPr="005E7AC3">
        <w:rPr>
          <w:sz w:val="28"/>
          <w:szCs w:val="28"/>
          <w:lang w:val="en-US"/>
        </w:rPr>
        <w:t xml:space="preserve"> của Chính phủ</w:t>
      </w:r>
      <w:r w:rsidRPr="005E7AC3">
        <w:rPr>
          <w:sz w:val="28"/>
          <w:szCs w:val="28"/>
        </w:rPr>
        <w:t xml:space="preserve"> quy định về quản lý, bảo vệ an ninh, trật tự tại cửa khẩu cảng</w:t>
      </w:r>
      <w:r w:rsidRPr="005E7AC3">
        <w:rPr>
          <w:sz w:val="28"/>
          <w:szCs w:val="28"/>
          <w:lang w:val="en-US"/>
        </w:rPr>
        <w:t xml:space="preserve"> được sửa đổi, bổ sung một số điều bởi Nghị định số 299/2025/NĐ-CP ngày 17/11/2025 của Chính phủ </w:t>
      </w:r>
      <w:r w:rsidRPr="005E7AC3">
        <w:rPr>
          <w:i/>
          <w:sz w:val="28"/>
          <w:szCs w:val="28"/>
          <w:lang w:val="en-US"/>
        </w:rPr>
        <w:t xml:space="preserve">(Nghị định số 77) </w:t>
      </w:r>
      <w:r w:rsidRPr="005E7AC3">
        <w:rPr>
          <w:sz w:val="28"/>
          <w:szCs w:val="28"/>
          <w:lang w:val="en-US"/>
        </w:rPr>
        <w:t>chưa quy định cụ thể vị trí, vai trò của Công an cửa khẩu trong công tác bảo đảm an ninh, trật tự tại cửa khẩu cảng.</w:t>
      </w:r>
    </w:p>
    <w:p w14:paraId="0F67FB16" w14:textId="7F8B21ED" w:rsidR="00C429EF" w:rsidRPr="005E7AC3" w:rsidRDefault="00C429EF" w:rsidP="005E7AC3">
      <w:pPr>
        <w:tabs>
          <w:tab w:val="left" w:pos="720"/>
          <w:tab w:val="left" w:pos="1050"/>
        </w:tabs>
        <w:spacing w:before="120" w:after="120" w:line="360" w:lineRule="exact"/>
        <w:ind w:firstLine="720"/>
        <w:jc w:val="both"/>
        <w:rPr>
          <w:b/>
          <w:szCs w:val="28"/>
        </w:rPr>
      </w:pPr>
      <w:r w:rsidRPr="005E7AC3">
        <w:rPr>
          <w:b/>
          <w:szCs w:val="28"/>
        </w:rPr>
        <w:t>II. Đánh giá tác động của thủ tụ</w:t>
      </w:r>
      <w:r w:rsidR="00C22F2B">
        <w:rPr>
          <w:b/>
          <w:szCs w:val="28"/>
        </w:rPr>
        <w:t>c hành chính quy định tại dự thảo Nghị định</w:t>
      </w:r>
    </w:p>
    <w:p w14:paraId="2318221B" w14:textId="77777777" w:rsidR="00C429EF" w:rsidRPr="005E7AC3" w:rsidRDefault="00C429EF" w:rsidP="005E7AC3">
      <w:pPr>
        <w:pStyle w:val="ListParagraph"/>
        <w:numPr>
          <w:ilvl w:val="0"/>
          <w:numId w:val="3"/>
        </w:numPr>
        <w:tabs>
          <w:tab w:val="left" w:pos="720"/>
          <w:tab w:val="left" w:pos="1050"/>
        </w:tabs>
        <w:spacing w:before="120" w:after="120" w:line="360" w:lineRule="exact"/>
        <w:ind w:left="0" w:firstLine="720"/>
        <w:contextualSpacing w:val="0"/>
        <w:jc w:val="both"/>
        <w:rPr>
          <w:szCs w:val="28"/>
        </w:rPr>
      </w:pPr>
      <w:r w:rsidRPr="005E7AC3">
        <w:rPr>
          <w:szCs w:val="28"/>
        </w:rPr>
        <w:t>Tác động về kinh tế:</w:t>
      </w:r>
    </w:p>
    <w:p w14:paraId="6FE1389A" w14:textId="77777777" w:rsidR="00C429EF" w:rsidRPr="005E7AC3" w:rsidRDefault="00C429EF" w:rsidP="005E7AC3">
      <w:pPr>
        <w:spacing w:before="120" w:after="120" w:line="360" w:lineRule="exact"/>
        <w:ind w:firstLine="720"/>
        <w:jc w:val="both"/>
        <w:rPr>
          <w:szCs w:val="28"/>
        </w:rPr>
      </w:pPr>
      <w:r w:rsidRPr="005E7AC3">
        <w:rPr>
          <w:szCs w:val="28"/>
        </w:rPr>
        <w:t xml:space="preserve">- Chi phí: Việc bổ sung quy định chính sách này sẽ làm phát sinh thêm </w:t>
      </w:r>
      <w:r w:rsidR="00C22F2B">
        <w:rPr>
          <w:szCs w:val="28"/>
        </w:rPr>
        <w:t>chi phí cho cơ quan nhà nước về kinh phí xây dựng văn bản quy phạm pháp luật và tuyên truyền, phổ biến sau khi Nghị định được thông qua</w:t>
      </w:r>
      <w:r w:rsidR="005E7AC3">
        <w:rPr>
          <w:szCs w:val="28"/>
        </w:rPr>
        <w:t>. Ngoài ra, không làm phát sinh các chi phí, tác động khác liên quan đến thủ tục hành chính cho cơ quan, tổ chức, doanh nghiệp, cá nhân có liên quan và cơ quan nhà nước, do hiện nay, lực lượng Công an nhân dân đang triển khai thực hiện nhiệm vụ này trên cơ sở quy định của Nghị định số 77.</w:t>
      </w:r>
    </w:p>
    <w:p w14:paraId="2E456122" w14:textId="77777777" w:rsidR="007E1AB2" w:rsidRPr="005E7AC3" w:rsidRDefault="00C429EF" w:rsidP="005E7AC3">
      <w:pPr>
        <w:spacing w:before="120" w:after="120" w:line="360" w:lineRule="exact"/>
        <w:ind w:firstLine="720"/>
        <w:jc w:val="both"/>
        <w:rPr>
          <w:szCs w:val="28"/>
        </w:rPr>
      </w:pPr>
      <w:r w:rsidRPr="005E7AC3">
        <w:rPr>
          <w:szCs w:val="28"/>
        </w:rPr>
        <w:lastRenderedPageBreak/>
        <w:t xml:space="preserve">- Lợi ích: </w:t>
      </w:r>
      <w:r w:rsidR="007E1AB2" w:rsidRPr="005E7AC3">
        <w:rPr>
          <w:szCs w:val="28"/>
        </w:rPr>
        <w:t xml:space="preserve">Bảo đảm cơ sở </w:t>
      </w:r>
      <w:r w:rsidR="007E1AB2" w:rsidRPr="005E7AC3">
        <w:rPr>
          <w:rFonts w:cs="Times New Roman"/>
          <w:szCs w:val="28"/>
          <w:lang w:val="nl-NL"/>
        </w:rPr>
        <w:t xml:space="preserve">pháp lý </w:t>
      </w:r>
      <w:r w:rsidR="008F0172">
        <w:rPr>
          <w:rFonts w:cs="Times New Roman"/>
          <w:szCs w:val="28"/>
          <w:lang w:val="nl-NL"/>
        </w:rPr>
        <w:t>lực lượng Công an nhân dân</w:t>
      </w:r>
      <w:r w:rsidR="007E1AB2" w:rsidRPr="005E7AC3">
        <w:rPr>
          <w:rFonts w:cs="Times New Roman"/>
          <w:szCs w:val="28"/>
          <w:lang w:val="nl-NL"/>
        </w:rPr>
        <w:t xml:space="preserve"> thực hiện công tác quản lý, bảo vệ an ninh, trật tự tại các cửa khẩu cảng nêu trên và bảo đảm phù hợp với đường lối, chủ trương của Đảng, tính thống nhất của hệ thống pháp luật.</w:t>
      </w:r>
    </w:p>
    <w:p w14:paraId="36AC327D" w14:textId="77777777" w:rsidR="00306D03" w:rsidRPr="005E7AC3" w:rsidRDefault="00306D03" w:rsidP="005E7AC3">
      <w:pPr>
        <w:spacing w:before="120" w:after="120" w:line="360" w:lineRule="exact"/>
        <w:ind w:firstLine="720"/>
        <w:jc w:val="both"/>
        <w:rPr>
          <w:szCs w:val="28"/>
        </w:rPr>
      </w:pPr>
      <w:r w:rsidRPr="005E7AC3">
        <w:rPr>
          <w:szCs w:val="28"/>
        </w:rPr>
        <w:t xml:space="preserve">b) Tác động về xã hội: Quy định </w:t>
      </w:r>
      <w:r w:rsidR="007E1AB2" w:rsidRPr="005E7AC3">
        <w:rPr>
          <w:szCs w:val="28"/>
        </w:rPr>
        <w:t xml:space="preserve">cụ thể thẩm quyền gải quyết các thủ tục hành chính tại các cửa khẩu cảng do </w:t>
      </w:r>
      <w:r w:rsidR="005E7AC3">
        <w:rPr>
          <w:szCs w:val="28"/>
        </w:rPr>
        <w:t>lực lượng Công an nhân dân</w:t>
      </w:r>
      <w:r w:rsidR="007E1AB2" w:rsidRPr="005E7AC3">
        <w:rPr>
          <w:szCs w:val="28"/>
        </w:rPr>
        <w:t xml:space="preserve"> quản lý sẽ tăng tính minh bạch, công khai trong việc giải quyết thủ tục hành chính của lực lực lượng Công an nhân dân nói riêng, của Nhà nước nói chung và </w:t>
      </w:r>
      <w:r w:rsidRPr="005E7AC3">
        <w:rPr>
          <w:szCs w:val="28"/>
        </w:rPr>
        <w:t>làm tăng niềm tin của người dân, cơ quan, tổ chức, doanh nghiệp vào chính sách, đường lối của Đảng và Nhà nước, góp phần nâng cao hiệu lực quản lý của Nhà nước.</w:t>
      </w:r>
    </w:p>
    <w:p w14:paraId="0719B6C9" w14:textId="77777777" w:rsidR="00306D03" w:rsidRPr="005E7AC3" w:rsidRDefault="00306D03" w:rsidP="005E7AC3">
      <w:pPr>
        <w:spacing w:before="120" w:after="120" w:line="360" w:lineRule="exact"/>
        <w:ind w:firstLine="720"/>
        <w:jc w:val="both"/>
        <w:rPr>
          <w:szCs w:val="28"/>
        </w:rPr>
      </w:pPr>
      <w:r w:rsidRPr="005E7AC3">
        <w:rPr>
          <w:szCs w:val="28"/>
        </w:rPr>
        <w:t xml:space="preserve">c) Tác động thủ tục hành chính: </w:t>
      </w:r>
    </w:p>
    <w:p w14:paraId="0085FA8A" w14:textId="77777777" w:rsidR="00306D03" w:rsidRPr="005E7AC3" w:rsidRDefault="00306D03" w:rsidP="005E7AC3">
      <w:pPr>
        <w:spacing w:before="120" w:after="120" w:line="360" w:lineRule="exact"/>
        <w:ind w:firstLine="720"/>
        <w:jc w:val="both"/>
        <w:rPr>
          <w:szCs w:val="28"/>
        </w:rPr>
      </w:pPr>
      <w:r w:rsidRPr="005E7AC3">
        <w:rPr>
          <w:szCs w:val="28"/>
        </w:rPr>
        <w:t>(i) Sự cần thiết quy định về TTHC:</w:t>
      </w:r>
      <w:r w:rsidRPr="005E7AC3">
        <w:rPr>
          <w:szCs w:val="28"/>
        </w:rPr>
        <w:tab/>
      </w:r>
    </w:p>
    <w:p w14:paraId="2EE9387B" w14:textId="77777777" w:rsidR="00306D03" w:rsidRPr="005E7AC3" w:rsidRDefault="007E1AB2" w:rsidP="005E7AC3">
      <w:pPr>
        <w:spacing w:before="120" w:after="120" w:line="360" w:lineRule="exact"/>
        <w:ind w:firstLine="720"/>
        <w:jc w:val="both"/>
        <w:rPr>
          <w:bCs/>
          <w:color w:val="111111"/>
          <w:szCs w:val="28"/>
          <w:shd w:val="clear" w:color="auto" w:fill="FFFFFF"/>
        </w:rPr>
      </w:pPr>
      <w:r w:rsidRPr="005E7AC3">
        <w:rPr>
          <w:bCs/>
          <w:color w:val="111111"/>
          <w:szCs w:val="28"/>
          <w:shd w:val="clear" w:color="auto" w:fill="FFFFFF"/>
        </w:rPr>
        <w:t xml:space="preserve">Việc quy định cụ thể về trình tự, thủ tục thực hiện các thủ tục hành chính liên quan đến quản lý, bảo vệ an ninh, trật tự tại các cửa khẩu do </w:t>
      </w:r>
      <w:r w:rsidR="005E7AC3">
        <w:rPr>
          <w:szCs w:val="28"/>
        </w:rPr>
        <w:t>lực lượng Công an nhân dân</w:t>
      </w:r>
      <w:r w:rsidR="005E7AC3" w:rsidRPr="005E7AC3">
        <w:rPr>
          <w:szCs w:val="28"/>
        </w:rPr>
        <w:t xml:space="preserve"> </w:t>
      </w:r>
      <w:r w:rsidRPr="005E7AC3">
        <w:rPr>
          <w:bCs/>
          <w:color w:val="111111"/>
          <w:szCs w:val="28"/>
          <w:shd w:val="clear" w:color="auto" w:fill="FFFFFF"/>
        </w:rPr>
        <w:t>là cần thiết để bảo đảm cơ sở pháp lý cho lực lượng Công an nhân dân thực hiện công tác quản lý nhà nước tại các cửa khẩu cảng này</w:t>
      </w:r>
      <w:r w:rsidR="00306D03" w:rsidRPr="005E7AC3">
        <w:rPr>
          <w:bCs/>
          <w:color w:val="111111"/>
          <w:szCs w:val="28"/>
          <w:shd w:val="clear" w:color="auto" w:fill="FFFFFF"/>
        </w:rPr>
        <w:t xml:space="preserve">; bảo đảm công khai, minh bạch để tạo điều kiện thuận lợi cho cơ quan, tổ chức, doanh nghiệp, cá nhân khi </w:t>
      </w:r>
      <w:r w:rsidRPr="005E7AC3">
        <w:rPr>
          <w:bCs/>
          <w:color w:val="111111"/>
          <w:szCs w:val="28"/>
          <w:shd w:val="clear" w:color="auto" w:fill="FFFFFF"/>
        </w:rPr>
        <w:t>thực hiện các thủ tục liên quan tại các cửa khẩu cảng do lực lượng Công an nhân dân quản lý</w:t>
      </w:r>
      <w:r w:rsidR="00306D03" w:rsidRPr="005E7AC3">
        <w:rPr>
          <w:bCs/>
          <w:color w:val="111111"/>
          <w:szCs w:val="28"/>
          <w:shd w:val="clear" w:color="auto" w:fill="FFFFFF"/>
        </w:rPr>
        <w:t>.</w:t>
      </w:r>
    </w:p>
    <w:p w14:paraId="442890F0" w14:textId="77777777" w:rsidR="00306D03" w:rsidRPr="005E7AC3" w:rsidRDefault="00306D03" w:rsidP="005E7AC3">
      <w:pPr>
        <w:spacing w:before="120" w:after="120" w:line="360" w:lineRule="exact"/>
        <w:ind w:firstLine="720"/>
        <w:jc w:val="both"/>
        <w:rPr>
          <w:bCs/>
          <w:color w:val="111111"/>
          <w:szCs w:val="28"/>
          <w:shd w:val="clear" w:color="auto" w:fill="FFFFFF"/>
        </w:rPr>
      </w:pPr>
      <w:r w:rsidRPr="005E7AC3">
        <w:rPr>
          <w:bCs/>
          <w:color w:val="111111"/>
          <w:szCs w:val="28"/>
          <w:shd w:val="clear" w:color="auto" w:fill="FFFFFF"/>
        </w:rPr>
        <w:t>(ii) Đánh giá tính hợp lý, hợp pháp của TTHC:</w:t>
      </w:r>
    </w:p>
    <w:p w14:paraId="634D2CC0" w14:textId="77777777" w:rsidR="00306D03" w:rsidRPr="005E7AC3" w:rsidRDefault="00306D03" w:rsidP="005E7AC3">
      <w:pPr>
        <w:spacing w:before="120" w:after="120" w:line="360" w:lineRule="exact"/>
        <w:ind w:firstLine="720"/>
        <w:jc w:val="both"/>
        <w:rPr>
          <w:bCs/>
          <w:color w:val="111111"/>
          <w:szCs w:val="28"/>
          <w:shd w:val="clear" w:color="auto" w:fill="FFFFFF"/>
        </w:rPr>
      </w:pPr>
      <w:r w:rsidRPr="005E7AC3">
        <w:rPr>
          <w:bCs/>
          <w:color w:val="111111"/>
          <w:szCs w:val="28"/>
          <w:shd w:val="clear" w:color="auto" w:fill="FFFFFF"/>
        </w:rPr>
        <w:t>- Tên TTHC:</w:t>
      </w:r>
    </w:p>
    <w:p w14:paraId="22BAB6F1" w14:textId="77777777" w:rsidR="001B6DB5" w:rsidRPr="005E7AC3" w:rsidRDefault="00306D03" w:rsidP="005E7AC3">
      <w:pPr>
        <w:spacing w:before="120" w:after="120" w:line="360" w:lineRule="exact"/>
        <w:ind w:firstLine="720"/>
        <w:jc w:val="both"/>
        <w:rPr>
          <w:bCs/>
          <w:color w:val="111111"/>
          <w:szCs w:val="28"/>
          <w:shd w:val="clear" w:color="auto" w:fill="FFFFFF"/>
        </w:rPr>
      </w:pPr>
      <w:r w:rsidRPr="005E7AC3">
        <w:rPr>
          <w:bCs/>
          <w:color w:val="111111"/>
          <w:szCs w:val="28"/>
          <w:shd w:val="clear" w:color="auto" w:fill="FFFFFF"/>
        </w:rPr>
        <w:t xml:space="preserve">+ </w:t>
      </w:r>
      <w:r w:rsidR="001B6DB5" w:rsidRPr="005E7AC3">
        <w:rPr>
          <w:bCs/>
          <w:color w:val="111111"/>
          <w:szCs w:val="28"/>
          <w:shd w:val="clear" w:color="auto" w:fill="FFFFFF"/>
        </w:rPr>
        <w:t>Nhóm thủ tục về tàu thuyền nhập cảnh, xuất cảnh, quá cảnh</w:t>
      </w:r>
      <w:r w:rsidR="00194F7C" w:rsidRPr="005E7AC3">
        <w:rPr>
          <w:bCs/>
          <w:color w:val="111111"/>
          <w:szCs w:val="28"/>
          <w:shd w:val="clear" w:color="auto" w:fill="FFFFFF"/>
        </w:rPr>
        <w:t>, chuyển cảng</w:t>
      </w:r>
      <w:r w:rsidR="0031302D" w:rsidRPr="005E7AC3">
        <w:rPr>
          <w:bCs/>
          <w:color w:val="111111"/>
          <w:szCs w:val="28"/>
          <w:shd w:val="clear" w:color="auto" w:fill="FFFFFF"/>
        </w:rPr>
        <w:t xml:space="preserve"> tại của khẩu cảng </w:t>
      </w:r>
      <w:r w:rsidR="0031302D" w:rsidRPr="005E7AC3">
        <w:rPr>
          <w:bCs/>
          <w:szCs w:val="28"/>
        </w:rPr>
        <w:t>do lực lượng Công an nhân dân quản lý</w:t>
      </w:r>
      <w:r w:rsidR="001B6DB5" w:rsidRPr="005E7AC3">
        <w:rPr>
          <w:bCs/>
          <w:color w:val="111111"/>
          <w:szCs w:val="28"/>
          <w:shd w:val="clear" w:color="auto" w:fill="FFFFFF"/>
        </w:rPr>
        <w:t>.</w:t>
      </w:r>
    </w:p>
    <w:p w14:paraId="7008F252" w14:textId="77777777" w:rsidR="001B6DB5" w:rsidRPr="005E7AC3" w:rsidRDefault="001B6DB5" w:rsidP="005E7AC3">
      <w:pPr>
        <w:spacing w:before="120" w:after="120" w:line="360" w:lineRule="exact"/>
        <w:ind w:firstLine="720"/>
        <w:jc w:val="both"/>
        <w:rPr>
          <w:bCs/>
          <w:color w:val="111111"/>
          <w:szCs w:val="28"/>
          <w:shd w:val="clear" w:color="auto" w:fill="FFFFFF"/>
        </w:rPr>
      </w:pPr>
      <w:r w:rsidRPr="005E7AC3">
        <w:rPr>
          <w:bCs/>
          <w:color w:val="111111"/>
          <w:szCs w:val="28"/>
          <w:shd w:val="clear" w:color="auto" w:fill="FFFFFF"/>
        </w:rPr>
        <w:t>+ Cấp giấy phép đi bờ của thuyền viên</w:t>
      </w:r>
      <w:r w:rsidR="0031302D" w:rsidRPr="005E7AC3">
        <w:rPr>
          <w:bCs/>
          <w:color w:val="111111"/>
          <w:szCs w:val="28"/>
          <w:shd w:val="clear" w:color="auto" w:fill="FFFFFF"/>
        </w:rPr>
        <w:t xml:space="preserve"> tại của khẩu cảng </w:t>
      </w:r>
      <w:r w:rsidR="0031302D" w:rsidRPr="005E7AC3">
        <w:rPr>
          <w:bCs/>
          <w:szCs w:val="28"/>
        </w:rPr>
        <w:t>do lực lượng Công an nhân dân quản lý</w:t>
      </w:r>
      <w:r w:rsidRPr="005E7AC3">
        <w:rPr>
          <w:bCs/>
          <w:color w:val="111111"/>
          <w:szCs w:val="28"/>
          <w:shd w:val="clear" w:color="auto" w:fill="FFFFFF"/>
        </w:rPr>
        <w:t>.</w:t>
      </w:r>
    </w:p>
    <w:p w14:paraId="22452B87" w14:textId="77777777" w:rsidR="001B6DB5" w:rsidRPr="005E7AC3" w:rsidRDefault="001B6DB5" w:rsidP="005E7AC3">
      <w:pPr>
        <w:spacing w:before="120" w:after="120" w:line="360" w:lineRule="exact"/>
        <w:ind w:firstLine="720"/>
        <w:jc w:val="both"/>
        <w:rPr>
          <w:bCs/>
          <w:color w:val="111111"/>
          <w:szCs w:val="28"/>
          <w:shd w:val="clear" w:color="auto" w:fill="FFFFFF"/>
        </w:rPr>
      </w:pPr>
      <w:r w:rsidRPr="005E7AC3">
        <w:rPr>
          <w:bCs/>
          <w:color w:val="111111"/>
          <w:szCs w:val="28"/>
          <w:shd w:val="clear" w:color="auto" w:fill="FFFFFF"/>
        </w:rPr>
        <w:t>+ Cấp giấy phép xuống tàu</w:t>
      </w:r>
      <w:r w:rsidR="0031302D" w:rsidRPr="005E7AC3">
        <w:rPr>
          <w:bCs/>
          <w:color w:val="111111"/>
          <w:szCs w:val="28"/>
          <w:shd w:val="clear" w:color="auto" w:fill="FFFFFF"/>
        </w:rPr>
        <w:t xml:space="preserve"> tại của khẩu cảng </w:t>
      </w:r>
      <w:r w:rsidR="0031302D" w:rsidRPr="005E7AC3">
        <w:rPr>
          <w:bCs/>
          <w:szCs w:val="28"/>
        </w:rPr>
        <w:t>do lực lượng Công an nhân dân quản lý</w:t>
      </w:r>
      <w:r w:rsidRPr="005E7AC3">
        <w:rPr>
          <w:bCs/>
          <w:color w:val="111111"/>
          <w:szCs w:val="28"/>
          <w:shd w:val="clear" w:color="auto" w:fill="FFFFFF"/>
        </w:rPr>
        <w:t>.</w:t>
      </w:r>
    </w:p>
    <w:p w14:paraId="52A397B5" w14:textId="77777777" w:rsidR="001B6DB5" w:rsidRPr="005E7AC3" w:rsidRDefault="001B6DB5" w:rsidP="005E7AC3">
      <w:pPr>
        <w:spacing w:before="120" w:after="120" w:line="360" w:lineRule="exact"/>
        <w:ind w:firstLine="720"/>
        <w:jc w:val="both"/>
        <w:rPr>
          <w:bCs/>
          <w:color w:val="111111"/>
          <w:szCs w:val="28"/>
          <w:shd w:val="clear" w:color="auto" w:fill="FFFFFF"/>
        </w:rPr>
      </w:pPr>
      <w:r w:rsidRPr="005E7AC3">
        <w:rPr>
          <w:bCs/>
          <w:color w:val="111111"/>
          <w:szCs w:val="28"/>
          <w:shd w:val="clear" w:color="auto" w:fill="FFFFFF"/>
        </w:rPr>
        <w:t>+ Cấp giấy phép cho người Việt Nam và người nước ngoài  xuống tàu thuyền nước ngoài, người nước ngoài xuống tàu thuyền Việt Nam neo đậu tại cảng; người điều khiển phương tiện Việt Nam, phương tiện nước ngoài cập mạn tàu thuyền nước ngoài; thuyền viên nước ngoài nghỉ qua đêm trên bờ hoặc xuống các tàu thuyền khác đang neo đậu tại cảng</w:t>
      </w:r>
      <w:r w:rsidR="0031302D" w:rsidRPr="005E7AC3">
        <w:rPr>
          <w:bCs/>
          <w:color w:val="111111"/>
          <w:szCs w:val="28"/>
          <w:shd w:val="clear" w:color="auto" w:fill="FFFFFF"/>
        </w:rPr>
        <w:t xml:space="preserve"> </w:t>
      </w:r>
      <w:r w:rsidR="0031302D" w:rsidRPr="005E7AC3">
        <w:rPr>
          <w:bCs/>
          <w:szCs w:val="28"/>
        </w:rPr>
        <w:t>do lực lượng Công an nhân dân quản lý</w:t>
      </w:r>
      <w:r w:rsidRPr="005E7AC3">
        <w:rPr>
          <w:bCs/>
          <w:color w:val="111111"/>
          <w:szCs w:val="28"/>
          <w:shd w:val="clear" w:color="auto" w:fill="FFFFFF"/>
        </w:rPr>
        <w:t>.</w:t>
      </w:r>
    </w:p>
    <w:p w14:paraId="68FFE766" w14:textId="77777777" w:rsidR="0031302D" w:rsidRPr="005E7AC3" w:rsidRDefault="0031302D" w:rsidP="005E7AC3">
      <w:pPr>
        <w:spacing w:before="120" w:after="120" w:line="360" w:lineRule="exact"/>
        <w:ind w:firstLine="720"/>
        <w:jc w:val="both"/>
        <w:rPr>
          <w:bCs/>
          <w:szCs w:val="28"/>
        </w:rPr>
      </w:pPr>
      <w:r w:rsidRPr="005E7AC3">
        <w:rPr>
          <w:bCs/>
          <w:color w:val="111111"/>
          <w:szCs w:val="28"/>
          <w:shd w:val="clear" w:color="auto" w:fill="FFFFFF"/>
        </w:rPr>
        <w:t xml:space="preserve">+ Thủ tục </w:t>
      </w:r>
      <w:r w:rsidRPr="005E7AC3">
        <w:rPr>
          <w:bCs/>
          <w:szCs w:val="28"/>
        </w:rPr>
        <w:t>quản lý, kiểm soát hoạt động của người tại cửa khẩu cảng.</w:t>
      </w:r>
    </w:p>
    <w:p w14:paraId="3C5D1C6E" w14:textId="77777777" w:rsidR="0031302D" w:rsidRPr="005E7AC3" w:rsidRDefault="0031302D" w:rsidP="005E7AC3">
      <w:pPr>
        <w:spacing w:before="120" w:after="120" w:line="360" w:lineRule="exact"/>
        <w:ind w:firstLine="720"/>
        <w:jc w:val="both"/>
        <w:rPr>
          <w:bCs/>
          <w:color w:val="111111"/>
          <w:szCs w:val="28"/>
          <w:shd w:val="clear" w:color="auto" w:fill="FFFFFF"/>
        </w:rPr>
      </w:pPr>
      <w:r w:rsidRPr="005E7AC3">
        <w:rPr>
          <w:bCs/>
          <w:szCs w:val="28"/>
        </w:rPr>
        <w:t>+ Thủ tục quản lý, kiểm soát hoạt động của phương tiện tại của khẩu cảng do lực lượng Công an nhân dân quản lý.</w:t>
      </w:r>
    </w:p>
    <w:p w14:paraId="5B1882C6" w14:textId="77777777" w:rsidR="00306D03" w:rsidRPr="005E7AC3" w:rsidRDefault="005E7AC3" w:rsidP="005E7AC3">
      <w:pPr>
        <w:spacing w:before="120" w:after="120" w:line="360" w:lineRule="exact"/>
        <w:ind w:firstLine="720"/>
        <w:jc w:val="both"/>
        <w:rPr>
          <w:bCs/>
          <w:color w:val="111111"/>
          <w:szCs w:val="28"/>
          <w:shd w:val="clear" w:color="auto" w:fill="FFFFFF"/>
        </w:rPr>
      </w:pPr>
      <w:r>
        <w:rPr>
          <w:bCs/>
          <w:color w:val="111111"/>
          <w:szCs w:val="28"/>
          <w:shd w:val="clear" w:color="auto" w:fill="FFFFFF"/>
        </w:rPr>
        <w:lastRenderedPageBreak/>
        <w:t xml:space="preserve">- </w:t>
      </w:r>
      <w:r w:rsidR="00306D03" w:rsidRPr="005E7AC3">
        <w:rPr>
          <w:bCs/>
          <w:color w:val="111111"/>
          <w:szCs w:val="28"/>
          <w:shd w:val="clear" w:color="auto" w:fill="FFFFFF"/>
        </w:rPr>
        <w:t>Tên TTHC được quy định rõ ràng, cụ thể, chính xác và thống nhất với các văn bản quy phạm pháp luậ</w:t>
      </w:r>
      <w:r w:rsidR="006E2B9B" w:rsidRPr="005E7AC3">
        <w:rPr>
          <w:bCs/>
          <w:color w:val="111111"/>
          <w:szCs w:val="28"/>
          <w:shd w:val="clear" w:color="auto" w:fill="FFFFFF"/>
        </w:rPr>
        <w:t>t có quy</w:t>
      </w:r>
      <w:r w:rsidR="00306D03" w:rsidRPr="005E7AC3">
        <w:rPr>
          <w:bCs/>
          <w:color w:val="111111"/>
          <w:szCs w:val="28"/>
          <w:shd w:val="clear" w:color="auto" w:fill="FFFFFF"/>
        </w:rPr>
        <w:t xml:space="preserve"> định về TTHC.</w:t>
      </w:r>
    </w:p>
    <w:p w14:paraId="565DC576" w14:textId="77777777" w:rsidR="00306D03" w:rsidRPr="005E7AC3" w:rsidRDefault="00306D03" w:rsidP="005E7AC3">
      <w:pPr>
        <w:spacing w:before="120" w:after="120" w:line="360" w:lineRule="exact"/>
        <w:ind w:firstLine="720"/>
        <w:jc w:val="both"/>
        <w:rPr>
          <w:bCs/>
          <w:color w:val="111111"/>
          <w:szCs w:val="28"/>
          <w:shd w:val="clear" w:color="auto" w:fill="FFFFFF"/>
        </w:rPr>
      </w:pPr>
      <w:r w:rsidRPr="005E7AC3">
        <w:rPr>
          <w:bCs/>
          <w:color w:val="111111"/>
          <w:szCs w:val="28"/>
          <w:shd w:val="clear" w:color="auto" w:fill="FFFFFF"/>
        </w:rPr>
        <w:t>- Cơ quan thực hiệ</w:t>
      </w:r>
      <w:r w:rsidR="0031302D" w:rsidRPr="005E7AC3">
        <w:rPr>
          <w:bCs/>
          <w:color w:val="111111"/>
          <w:szCs w:val="28"/>
          <w:shd w:val="clear" w:color="auto" w:fill="FFFFFF"/>
        </w:rPr>
        <w:t>n: lực lượng Công an nhân dân</w:t>
      </w:r>
      <w:r w:rsidR="005E7AC3">
        <w:rPr>
          <w:bCs/>
          <w:color w:val="111111"/>
          <w:szCs w:val="28"/>
          <w:shd w:val="clear" w:color="auto" w:fill="FFFFFF"/>
        </w:rPr>
        <w:t xml:space="preserve"> tại cửa khẩu cảng thuộc thẩm quyền quản lý.</w:t>
      </w:r>
    </w:p>
    <w:p w14:paraId="666D3068" w14:textId="77777777" w:rsidR="005E7AC3" w:rsidRPr="005E7AC3" w:rsidRDefault="00306D03" w:rsidP="005E7AC3">
      <w:pPr>
        <w:spacing w:before="120" w:after="120" w:line="360" w:lineRule="exact"/>
        <w:ind w:firstLine="720"/>
        <w:jc w:val="both"/>
        <w:rPr>
          <w:bCs/>
          <w:color w:val="111111"/>
          <w:spacing w:val="4"/>
          <w:szCs w:val="28"/>
          <w:shd w:val="clear" w:color="auto" w:fill="FFFFFF"/>
        </w:rPr>
      </w:pPr>
      <w:r w:rsidRPr="005E7AC3">
        <w:rPr>
          <w:bCs/>
          <w:color w:val="111111"/>
          <w:spacing w:val="4"/>
          <w:szCs w:val="28"/>
          <w:shd w:val="clear" w:color="auto" w:fill="FFFFFF"/>
        </w:rPr>
        <w:t>- Quy định về phí, lệ</w:t>
      </w:r>
      <w:r w:rsidR="0031302D" w:rsidRPr="005E7AC3">
        <w:rPr>
          <w:bCs/>
          <w:color w:val="111111"/>
          <w:spacing w:val="4"/>
          <w:szCs w:val="28"/>
          <w:shd w:val="clear" w:color="auto" w:fill="FFFFFF"/>
        </w:rPr>
        <w:t xml:space="preserve"> phí:</w:t>
      </w:r>
      <w:r w:rsidR="005E7AC3" w:rsidRPr="005E7AC3">
        <w:rPr>
          <w:bCs/>
          <w:color w:val="111111"/>
          <w:spacing w:val="4"/>
          <w:szCs w:val="28"/>
          <w:shd w:val="clear" w:color="auto" w:fill="FFFFFF"/>
        </w:rPr>
        <w:t xml:space="preserve"> dự thảo Nghị định không quy định cụ thề về phí, lệ phí thực hiện các thủ tục này. Phí, lệ phí thực hiện theo quy định của Bộ Tài chính.</w:t>
      </w:r>
    </w:p>
    <w:p w14:paraId="05E6FF3E" w14:textId="77777777" w:rsidR="00306D03" w:rsidRPr="005E7AC3" w:rsidRDefault="00306D03" w:rsidP="005E7AC3">
      <w:pPr>
        <w:spacing w:before="120" w:after="120" w:line="360" w:lineRule="exact"/>
        <w:ind w:firstLine="720"/>
        <w:jc w:val="both"/>
        <w:rPr>
          <w:bCs/>
          <w:color w:val="111111"/>
          <w:szCs w:val="28"/>
          <w:shd w:val="clear" w:color="auto" w:fill="FFFFFF"/>
        </w:rPr>
      </w:pPr>
      <w:r w:rsidRPr="005E7AC3">
        <w:rPr>
          <w:bCs/>
          <w:color w:val="111111"/>
          <w:szCs w:val="28"/>
          <w:shd w:val="clear" w:color="auto" w:fill="FFFFFF"/>
        </w:rPr>
        <w:t xml:space="preserve">- </w:t>
      </w:r>
      <w:r w:rsidR="0031302D" w:rsidRPr="005E7AC3">
        <w:rPr>
          <w:bCs/>
          <w:color w:val="111111"/>
          <w:szCs w:val="28"/>
          <w:shd w:val="clear" w:color="auto" w:fill="FFFFFF"/>
        </w:rPr>
        <w:t>Quy định cụ thể về các mẫu giấy tờ có liên quan trong việc thực hiện các thủ tục hành chính</w:t>
      </w:r>
      <w:r w:rsidR="005E7AC3">
        <w:rPr>
          <w:bCs/>
          <w:color w:val="111111"/>
          <w:szCs w:val="28"/>
          <w:shd w:val="clear" w:color="auto" w:fill="FFFFFF"/>
        </w:rPr>
        <w:t xml:space="preserve"> theo hướng trích dẫn quy định của Nghị định số 77.</w:t>
      </w:r>
    </w:p>
    <w:p w14:paraId="09DAB1DD" w14:textId="77777777" w:rsidR="0031302D" w:rsidRPr="005E7AC3" w:rsidRDefault="005E7AC3" w:rsidP="005E7AC3">
      <w:pPr>
        <w:spacing w:before="120" w:after="120" w:line="360" w:lineRule="exact"/>
        <w:ind w:firstLine="720"/>
        <w:jc w:val="both"/>
        <w:rPr>
          <w:bCs/>
          <w:color w:val="111111"/>
          <w:szCs w:val="28"/>
          <w:shd w:val="clear" w:color="auto" w:fill="FFFFFF"/>
        </w:rPr>
      </w:pPr>
      <w:r>
        <w:rPr>
          <w:bCs/>
          <w:color w:val="111111"/>
          <w:szCs w:val="28"/>
          <w:shd w:val="clear" w:color="auto" w:fill="FFFFFF"/>
        </w:rPr>
        <w:t xml:space="preserve">- </w:t>
      </w:r>
      <w:r w:rsidR="00306D03" w:rsidRPr="005E7AC3">
        <w:rPr>
          <w:bCs/>
          <w:color w:val="111111"/>
          <w:szCs w:val="28"/>
          <w:shd w:val="clear" w:color="auto" w:fill="FFFFFF"/>
        </w:rPr>
        <w:t>Kết quả thực hiện TTHC: được quy đị</w:t>
      </w:r>
      <w:r w:rsidR="0031302D" w:rsidRPr="005E7AC3">
        <w:rPr>
          <w:bCs/>
          <w:color w:val="111111"/>
          <w:szCs w:val="28"/>
          <w:shd w:val="clear" w:color="auto" w:fill="FFFFFF"/>
        </w:rPr>
        <w:t>nh rõ ràng, cụ thể</w:t>
      </w:r>
      <w:r>
        <w:rPr>
          <w:bCs/>
          <w:color w:val="111111"/>
          <w:szCs w:val="28"/>
          <w:shd w:val="clear" w:color="auto" w:fill="FFFFFF"/>
        </w:rPr>
        <w:t xml:space="preserve"> theo hướng trích dẫn quy định của Nghị định số 77</w:t>
      </w:r>
    </w:p>
    <w:p w14:paraId="25E61193" w14:textId="77777777" w:rsidR="00306D03" w:rsidRPr="005E7AC3" w:rsidRDefault="00306D03" w:rsidP="005E7AC3">
      <w:pPr>
        <w:spacing w:before="120" w:after="120" w:line="360" w:lineRule="exact"/>
        <w:ind w:firstLine="720"/>
        <w:jc w:val="both"/>
        <w:rPr>
          <w:szCs w:val="28"/>
        </w:rPr>
      </w:pPr>
      <w:r w:rsidRPr="005E7AC3">
        <w:rPr>
          <w:szCs w:val="28"/>
        </w:rPr>
        <w:t>- Đánh giá tính hợp lý, hợp pháp của TTHC:</w:t>
      </w:r>
    </w:p>
    <w:p w14:paraId="063D0747" w14:textId="77777777" w:rsidR="00306D03" w:rsidRPr="005E7AC3" w:rsidRDefault="00306D03" w:rsidP="005E7AC3">
      <w:pPr>
        <w:spacing w:before="120" w:after="120" w:line="360" w:lineRule="exact"/>
        <w:ind w:firstLine="720"/>
        <w:jc w:val="both"/>
        <w:rPr>
          <w:szCs w:val="28"/>
        </w:rPr>
      </w:pPr>
      <w:r w:rsidRPr="005E7AC3">
        <w:rPr>
          <w:szCs w:val="28"/>
        </w:rPr>
        <w:t xml:space="preserve">Việc ban hành TTHC theo quy định tại dự thảo </w:t>
      </w:r>
      <w:r w:rsidR="0031302D" w:rsidRPr="005E7AC3">
        <w:rPr>
          <w:szCs w:val="28"/>
        </w:rPr>
        <w:t>Nghị định</w:t>
      </w:r>
      <w:r w:rsidRPr="005E7AC3">
        <w:rPr>
          <w:szCs w:val="28"/>
        </w:rPr>
        <w:t xml:space="preserve"> này với các quy định của pháp luật, chính xác và thống nhất với các văn bản quy phạm pháp luật có quy định về TTHC; không bị mâu thuẫn, chồng chéo hoặc không phù hợp với các quy định tại các văn bản khác hoặc Điều ước quốc tế mà Việt Nam gia nhập, ký kết. Các nội dung liên quan đến việc thực hiện TTHC đượ</w:t>
      </w:r>
      <w:r w:rsidR="00BA2F91" w:rsidRPr="005E7AC3">
        <w:rPr>
          <w:szCs w:val="28"/>
        </w:rPr>
        <w:t>c quy</w:t>
      </w:r>
      <w:r w:rsidRPr="005E7AC3">
        <w:rPr>
          <w:szCs w:val="28"/>
        </w:rPr>
        <w:t xml:space="preserve"> định đầy đủ, rõ ràng, đảm bảo phù hợp với chủ trương đơn giản hóa TTHC của Chính phủ.</w:t>
      </w:r>
    </w:p>
    <w:p w14:paraId="6E4CDE38" w14:textId="77777777" w:rsidR="005F7B5C" w:rsidRPr="005E7AC3" w:rsidRDefault="005F7B5C" w:rsidP="005E7AC3">
      <w:pPr>
        <w:spacing w:before="120" w:after="120" w:line="360" w:lineRule="exact"/>
        <w:ind w:firstLine="720"/>
        <w:jc w:val="both"/>
        <w:rPr>
          <w:b/>
          <w:szCs w:val="28"/>
        </w:rPr>
      </w:pPr>
      <w:r w:rsidRPr="005E7AC3">
        <w:rPr>
          <w:b/>
          <w:szCs w:val="28"/>
        </w:rPr>
        <w:t>II</w:t>
      </w:r>
      <w:r w:rsidR="00BA2F91" w:rsidRPr="005E7AC3">
        <w:rPr>
          <w:b/>
          <w:szCs w:val="28"/>
        </w:rPr>
        <w:t>I</w:t>
      </w:r>
      <w:r w:rsidRPr="005E7AC3">
        <w:rPr>
          <w:b/>
          <w:szCs w:val="28"/>
        </w:rPr>
        <w:t>. Đánh giá tác động của thủ tụ</w:t>
      </w:r>
      <w:r w:rsidR="004024DB">
        <w:rPr>
          <w:b/>
          <w:szCs w:val="28"/>
        </w:rPr>
        <w:t>c hành chính/Chi phí tuân thủ thủ tục hành chính</w:t>
      </w:r>
    </w:p>
    <w:p w14:paraId="15F609BA" w14:textId="77777777" w:rsidR="00C429EF" w:rsidRPr="004024DB" w:rsidRDefault="005F7B5C" w:rsidP="004024DB">
      <w:pPr>
        <w:spacing w:before="120" w:after="120" w:line="360" w:lineRule="exact"/>
        <w:ind w:firstLine="720"/>
        <w:jc w:val="both"/>
        <w:rPr>
          <w:szCs w:val="28"/>
        </w:rPr>
      </w:pPr>
      <w:r w:rsidRPr="005E7AC3">
        <w:rPr>
          <w:szCs w:val="28"/>
        </w:rPr>
        <w:t xml:space="preserve">Theo quy định hiện hành, </w:t>
      </w:r>
      <w:r w:rsidR="0031302D" w:rsidRPr="005E7AC3">
        <w:rPr>
          <w:szCs w:val="28"/>
        </w:rPr>
        <w:t xml:space="preserve">các thủ tục hành chính này đang được lực lượng biên phòng triển khai thực hiện tại các cửa khẩu cảng do Bộ đội </w:t>
      </w:r>
      <w:r w:rsidR="004706B9" w:rsidRPr="005E7AC3">
        <w:rPr>
          <w:szCs w:val="28"/>
        </w:rPr>
        <w:t>Biên phòng quản</w:t>
      </w:r>
      <w:r w:rsidR="0031302D" w:rsidRPr="005E7AC3">
        <w:rPr>
          <w:szCs w:val="28"/>
        </w:rPr>
        <w:t xml:space="preserve"> lý theo quy định tại Nghị định số</w:t>
      </w:r>
      <w:r w:rsidR="004706B9" w:rsidRPr="005E7AC3">
        <w:rPr>
          <w:szCs w:val="28"/>
        </w:rPr>
        <w:t xml:space="preserve"> 77; đồng thời, dự thảo Nghị định quy định việc về trình tự, thủ tục, thành phần hồ sơ, cách thức thực hiện, thời gian giải quyết và kết quả của các thủ tục hành chính này như quy định tại Nghị định số 77 </w:t>
      </w:r>
      <w:r w:rsidR="004706B9" w:rsidRPr="005E7AC3">
        <w:rPr>
          <w:i/>
          <w:szCs w:val="28"/>
        </w:rPr>
        <w:t xml:space="preserve">(chỉ thay đổi về cơ quan có thẩm quyền giải quyết). </w:t>
      </w:r>
      <w:r w:rsidR="004706B9" w:rsidRPr="005E7AC3">
        <w:rPr>
          <w:szCs w:val="28"/>
        </w:rPr>
        <w:t xml:space="preserve">Do vậy, về bản chất, </w:t>
      </w:r>
      <w:r w:rsidR="004024DB">
        <w:rPr>
          <w:szCs w:val="28"/>
        </w:rPr>
        <w:t xml:space="preserve">dự thảo Nghị định không quy định phát sinh thủ tục hành chính mới; đồng thời, </w:t>
      </w:r>
      <w:r w:rsidR="004706B9" w:rsidRPr="005E7AC3">
        <w:rPr>
          <w:szCs w:val="28"/>
        </w:rPr>
        <w:t>không phát sinh các tác động về thủ tục hành chính</w:t>
      </w:r>
      <w:r w:rsidR="004024DB">
        <w:rPr>
          <w:szCs w:val="28"/>
        </w:rPr>
        <w:t>, không phát sinh chi phí tuân thủ thủ tục hành chính</w:t>
      </w:r>
      <w:r w:rsidR="004706B9" w:rsidRPr="005E7AC3">
        <w:rPr>
          <w:szCs w:val="28"/>
        </w:rPr>
        <w:t>.</w:t>
      </w:r>
      <w:r w:rsidR="004024DB">
        <w:rPr>
          <w:szCs w:val="28"/>
        </w:rPr>
        <w:t>/.</w:t>
      </w:r>
    </w:p>
    <w:sectPr w:rsidR="00C429EF" w:rsidRPr="004024DB" w:rsidSect="0031302D">
      <w:headerReference w:type="default" r:id="rId7"/>
      <w:pgSz w:w="11909" w:h="16834" w:code="9"/>
      <w:pgMar w:top="1134" w:right="1134" w:bottom="1134" w:left="1701" w:header="567" w:footer="720" w:gutter="0"/>
      <w:cols w:space="720"/>
      <w:titlePg/>
      <w:docGrid w:linePitch="381"/>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1EEE567" w14:textId="77777777" w:rsidR="00F916E5" w:rsidRDefault="00F916E5" w:rsidP="00522516">
      <w:pPr>
        <w:spacing w:after="0" w:line="240" w:lineRule="auto"/>
      </w:pPr>
      <w:r>
        <w:separator/>
      </w:r>
    </w:p>
  </w:endnote>
  <w:endnote w:type="continuationSeparator" w:id="0">
    <w:p w14:paraId="27573652" w14:textId="77777777" w:rsidR="00F916E5" w:rsidRDefault="00F916E5" w:rsidP="0052251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4835D8B" w14:textId="77777777" w:rsidR="00F916E5" w:rsidRDefault="00F916E5" w:rsidP="00522516">
      <w:pPr>
        <w:spacing w:after="0" w:line="240" w:lineRule="auto"/>
      </w:pPr>
      <w:r>
        <w:separator/>
      </w:r>
    </w:p>
  </w:footnote>
  <w:footnote w:type="continuationSeparator" w:id="0">
    <w:p w14:paraId="5928FE49" w14:textId="77777777" w:rsidR="00F916E5" w:rsidRDefault="00F916E5" w:rsidP="00522516">
      <w:pPr>
        <w:spacing w:after="0" w:line="240" w:lineRule="auto"/>
      </w:pPr>
      <w:r>
        <w:continuationSeparator/>
      </w:r>
    </w:p>
  </w:footnote>
  <w:footnote w:id="1">
    <w:p w14:paraId="6AB98EB7" w14:textId="77777777" w:rsidR="00522516" w:rsidRPr="005E7AC3" w:rsidRDefault="00522516" w:rsidP="00522516">
      <w:pPr>
        <w:pStyle w:val="FootnoteText"/>
        <w:ind w:firstLine="709"/>
        <w:jc w:val="both"/>
        <w:rPr>
          <w:sz w:val="24"/>
          <w:szCs w:val="24"/>
        </w:rPr>
      </w:pPr>
      <w:r w:rsidRPr="005E7AC3">
        <w:rPr>
          <w:rStyle w:val="FootnoteReference"/>
          <w:sz w:val="24"/>
          <w:szCs w:val="24"/>
        </w:rPr>
        <w:footnoteRef/>
      </w:r>
      <w:r w:rsidRPr="005E7AC3">
        <w:rPr>
          <w:sz w:val="24"/>
          <w:szCs w:val="24"/>
        </w:rPr>
        <w:t xml:space="preserve"> 38 cửa khẩu cảng do Bộ Quốc phòng quản lý gồm: Cửa khẩu cảng Hòn Gai, Cẩm Phá, Vạn Gia (tỉnh Quảng Ninh); cửa khẩu cảng Hải Phòng (Tp. Hải Phòng); cửa khẩu cảng Diêm Điền (tỉnh Hưng Yên); cửa khẩu cảng Hải Thịnh, Ninh Bình (tỉnh Ninh Bình); cửa khẩu cảng Nghi Sơn (tỉnh Thanh Hóa); cửa khẩu cảng Cửa Lò – Bến Thủy (tỉnh Nghệ An); cửa khẩu cảng Vũng Áng – Sơn Dương (tỉnh Hà Tĩnh); cửa khẩu cảng Gianh, Hòn La, Cửa Việt (tỉnh Quảng Trị); cửa khẩu cảng Thuận An, Chân Mây (Tp. Huế); cửa khẩu cảng Đà Nẵng, Kỳ Hà (Tp. Đà Nẵng); Cửa khẩu cảng Sa Kỳ, Dung Quất (tỉnh Quảng Ngãi); cửa khẩu cảng Quy Nhơn (tỉnh Gia Lai); cửa khẩu cảng Vũng Rô (tỉnh Đắk Lắk); cửa khẩu cảng Nha Trang, Cà Ná, Ninh Chữ (tỉnh Khánh Hòa); cửa khẩu cảng Phú Quý, Liên Hương (tỉnh Lâm Đồng); cửa khẩu cảng Bà Rịa – Vũng Tàu, Tp. Hồ Chí Minh (Tp. Hồ Chí Minh); cửa khẩu cảng Bến Lức (tỉnh Tây Ninh); cửa khẩu cảng Đồng Tháp, Soài Rạp – Hiệp Phước (tỉnh Đồng Tháp); cửa khẩu cảng Mỹ Thới, Hòn Chông, An Thới, Dương Đông (tỉnh An Giang); cửa khẩu cảng Trường Long Hòa, Giao Long (tỉnh Bến Tre), cửa khẩu cảng Năm Căn (tỉnh Cà Mau).</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44695411"/>
      <w:docPartObj>
        <w:docPartGallery w:val="Page Numbers (Top of Page)"/>
        <w:docPartUnique/>
      </w:docPartObj>
    </w:sdtPr>
    <w:sdtEndPr>
      <w:rPr>
        <w:noProof/>
      </w:rPr>
    </w:sdtEndPr>
    <w:sdtContent>
      <w:p w14:paraId="154A839C" w14:textId="54FA97FD" w:rsidR="0031302D" w:rsidRDefault="0031302D">
        <w:pPr>
          <w:pStyle w:val="Header"/>
          <w:jc w:val="center"/>
        </w:pPr>
        <w:r>
          <w:fldChar w:fldCharType="begin"/>
        </w:r>
        <w:r>
          <w:instrText xml:space="preserve"> PAGE   \* MERGEFORMAT </w:instrText>
        </w:r>
        <w:r>
          <w:fldChar w:fldCharType="separate"/>
        </w:r>
        <w:r w:rsidR="00472999">
          <w:rPr>
            <w:noProof/>
          </w:rPr>
          <w:t>2</w:t>
        </w:r>
        <w:r>
          <w:rPr>
            <w:noProof/>
          </w:rPr>
          <w:fldChar w:fldCharType="end"/>
        </w:r>
      </w:p>
    </w:sdtContent>
  </w:sdt>
  <w:p w14:paraId="66A7B543" w14:textId="77777777" w:rsidR="0031302D" w:rsidRDefault="0031302D">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1293C72"/>
    <w:multiLevelType w:val="hybridMultilevel"/>
    <w:tmpl w:val="3F6471AC"/>
    <w:lvl w:ilvl="0" w:tplc="2AB4AFB4">
      <w:start w:val="1"/>
      <w:numFmt w:val="decimal"/>
      <w:lvlText w:val="%1."/>
      <w:lvlJc w:val="left"/>
      <w:pPr>
        <w:ind w:left="1080" w:hanging="360"/>
      </w:pPr>
      <w:rPr>
        <w:rFonts w:hint="default"/>
        <w:b/>
        <w:color w:val="auto"/>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3196035D"/>
    <w:multiLevelType w:val="hybridMultilevel"/>
    <w:tmpl w:val="91A00DC8"/>
    <w:lvl w:ilvl="0" w:tplc="4BFED504">
      <w:start w:val="1"/>
      <w:numFmt w:val="upp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52387F06"/>
    <w:multiLevelType w:val="hybridMultilevel"/>
    <w:tmpl w:val="3118C4BA"/>
    <w:lvl w:ilvl="0" w:tplc="769E0752">
      <w:start w:val="1"/>
      <w:numFmt w:val="upp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73DC1D5B"/>
    <w:multiLevelType w:val="hybridMultilevel"/>
    <w:tmpl w:val="56D25202"/>
    <w:lvl w:ilvl="0" w:tplc="181089A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C4744"/>
    <w:rsid w:val="000575BD"/>
    <w:rsid w:val="000E0143"/>
    <w:rsid w:val="00194F7C"/>
    <w:rsid w:val="001B6DB5"/>
    <w:rsid w:val="00306D03"/>
    <w:rsid w:val="0031302D"/>
    <w:rsid w:val="00346C5C"/>
    <w:rsid w:val="004024DB"/>
    <w:rsid w:val="004706B9"/>
    <w:rsid w:val="00472999"/>
    <w:rsid w:val="00522516"/>
    <w:rsid w:val="00566A39"/>
    <w:rsid w:val="005C4744"/>
    <w:rsid w:val="005E7AC3"/>
    <w:rsid w:val="005F7B5C"/>
    <w:rsid w:val="006E2B9B"/>
    <w:rsid w:val="007975F2"/>
    <w:rsid w:val="007E1AB2"/>
    <w:rsid w:val="008621CA"/>
    <w:rsid w:val="008B5D9B"/>
    <w:rsid w:val="008F0172"/>
    <w:rsid w:val="008F5FE7"/>
    <w:rsid w:val="00935838"/>
    <w:rsid w:val="00A07514"/>
    <w:rsid w:val="00AB4988"/>
    <w:rsid w:val="00BA2F91"/>
    <w:rsid w:val="00C132A4"/>
    <w:rsid w:val="00C22F2B"/>
    <w:rsid w:val="00C429EF"/>
    <w:rsid w:val="00E26189"/>
    <w:rsid w:val="00F916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F0F3E3"/>
  <w15:docId w15:val="{6FB16BEE-4645-49CD-B61D-26EE021AE4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8"/>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C429E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429EF"/>
    <w:pPr>
      <w:ind w:left="720"/>
      <w:contextualSpacing/>
    </w:pPr>
  </w:style>
  <w:style w:type="paragraph" w:styleId="FootnoteText">
    <w:name w:val="footnote text"/>
    <w:aliases w:val="Footnote Text Char Char Char Char Char,Footnote Text Char Char Char Char Char Char Ch,Footnote Text Char Char Char Char Char Char Ch Char Char Char,Footnote Text Char Char Char Char Char Char Ch Char Char Char Char Char Char C,fn,ft,Car, C"/>
    <w:basedOn w:val="Normal"/>
    <w:link w:val="FootnoteTextChar"/>
    <w:uiPriority w:val="99"/>
    <w:unhideWhenUsed/>
    <w:qFormat/>
    <w:rsid w:val="00522516"/>
    <w:pPr>
      <w:spacing w:after="0" w:line="240" w:lineRule="auto"/>
    </w:pPr>
    <w:rPr>
      <w:rFonts w:eastAsia="Times New Roman" w:cs="Times New Roman"/>
      <w:sz w:val="20"/>
      <w:szCs w:val="20"/>
    </w:rPr>
  </w:style>
  <w:style w:type="character" w:customStyle="1" w:styleId="FootnoteTextChar">
    <w:name w:val="Footnote Text Char"/>
    <w:aliases w:val="Footnote Text Char Char Char Char Char Char,Footnote Text Char Char Char Char Char Char Ch Char,Footnote Text Char Char Char Char Char Char Ch Char Char Char Char,fn Char,ft Char,Car Char, C Char"/>
    <w:basedOn w:val="DefaultParagraphFont"/>
    <w:link w:val="FootnoteText"/>
    <w:uiPriority w:val="99"/>
    <w:qFormat/>
    <w:rsid w:val="00522516"/>
    <w:rPr>
      <w:rFonts w:eastAsia="Times New Roman" w:cs="Times New Roman"/>
      <w:sz w:val="20"/>
      <w:szCs w:val="20"/>
    </w:rPr>
  </w:style>
  <w:style w:type="character" w:styleId="FootnoteReference">
    <w:name w:val="footnote reference"/>
    <w:aliases w:val="Footnote,Footnote text,ftref,BVI fnr,footnote ref, BVI fnr,Footnote dich,SUPERS,(NECG) Footnote Reference,16 Point,Superscript 6 Point,Footnote + Arial,10 pt,fr,BearingPoint,Footnote Reference Number,Footnote Reference_LVL6,Ref,Black"/>
    <w:link w:val="1"/>
    <w:uiPriority w:val="99"/>
    <w:unhideWhenUsed/>
    <w:qFormat/>
    <w:rsid w:val="00522516"/>
    <w:rPr>
      <w:vertAlign w:val="superscript"/>
    </w:rPr>
  </w:style>
  <w:style w:type="paragraph" w:customStyle="1" w:styleId="1">
    <w:name w:val="Знак сноски 1"/>
    <w:aliases w:val="de nota al pie,R,10,f1,Footnote text + 13 pt,Footnote Text1,Footnote Text11,Re,BVI f"/>
    <w:basedOn w:val="Normal"/>
    <w:link w:val="FootnoteReference"/>
    <w:uiPriority w:val="99"/>
    <w:qFormat/>
    <w:rsid w:val="00522516"/>
    <w:pPr>
      <w:spacing w:before="100" w:after="0" w:line="240" w:lineRule="exact"/>
    </w:pPr>
    <w:rPr>
      <w:vertAlign w:val="superscript"/>
    </w:rPr>
  </w:style>
  <w:style w:type="paragraph" w:styleId="NormalWeb">
    <w:name w:val="Normal (Web)"/>
    <w:basedOn w:val="Normal"/>
    <w:link w:val="NormalWebChar"/>
    <w:rsid w:val="00522516"/>
    <w:pPr>
      <w:spacing w:before="100" w:beforeAutospacing="1" w:after="100" w:afterAutospacing="1" w:line="240" w:lineRule="auto"/>
    </w:pPr>
    <w:rPr>
      <w:rFonts w:eastAsia="Times New Roman" w:cs="Times New Roman"/>
      <w:sz w:val="24"/>
      <w:szCs w:val="24"/>
      <w:lang w:val="ru-RU" w:eastAsia="ru-RU"/>
    </w:rPr>
  </w:style>
  <w:style w:type="character" w:customStyle="1" w:styleId="NormalWebChar">
    <w:name w:val="Normal (Web) Char"/>
    <w:link w:val="NormalWeb"/>
    <w:locked/>
    <w:rsid w:val="00522516"/>
    <w:rPr>
      <w:rFonts w:eastAsia="Times New Roman" w:cs="Times New Roman"/>
      <w:sz w:val="24"/>
      <w:szCs w:val="24"/>
      <w:lang w:val="ru-RU" w:eastAsia="ru-RU"/>
    </w:rPr>
  </w:style>
  <w:style w:type="paragraph" w:styleId="Header">
    <w:name w:val="header"/>
    <w:basedOn w:val="Normal"/>
    <w:link w:val="HeaderChar"/>
    <w:uiPriority w:val="99"/>
    <w:unhideWhenUsed/>
    <w:rsid w:val="0031302D"/>
    <w:pPr>
      <w:tabs>
        <w:tab w:val="center" w:pos="4680"/>
        <w:tab w:val="right" w:pos="9360"/>
      </w:tabs>
      <w:spacing w:after="0" w:line="240" w:lineRule="auto"/>
    </w:pPr>
  </w:style>
  <w:style w:type="character" w:customStyle="1" w:styleId="HeaderChar">
    <w:name w:val="Header Char"/>
    <w:basedOn w:val="DefaultParagraphFont"/>
    <w:link w:val="Header"/>
    <w:uiPriority w:val="99"/>
    <w:rsid w:val="0031302D"/>
  </w:style>
  <w:style w:type="paragraph" w:styleId="Footer">
    <w:name w:val="footer"/>
    <w:basedOn w:val="Normal"/>
    <w:link w:val="FooterChar"/>
    <w:uiPriority w:val="99"/>
    <w:unhideWhenUsed/>
    <w:rsid w:val="0031302D"/>
    <w:pPr>
      <w:tabs>
        <w:tab w:val="center" w:pos="4680"/>
        <w:tab w:val="right" w:pos="9360"/>
      </w:tabs>
      <w:spacing w:after="0" w:line="240" w:lineRule="auto"/>
    </w:pPr>
  </w:style>
  <w:style w:type="character" w:customStyle="1" w:styleId="FooterChar">
    <w:name w:val="Footer Char"/>
    <w:basedOn w:val="DefaultParagraphFont"/>
    <w:link w:val="Footer"/>
    <w:uiPriority w:val="99"/>
    <w:rsid w:val="0031302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1181</Words>
  <Characters>6738</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P7</dc:creator>
  <cp:keywords/>
  <dc:description/>
  <cp:lastModifiedBy>admin</cp:lastModifiedBy>
  <cp:revision>2</cp:revision>
  <dcterms:created xsi:type="dcterms:W3CDTF">2026-04-16T12:19:00Z</dcterms:created>
  <dcterms:modified xsi:type="dcterms:W3CDTF">2026-04-16T12:19:00Z</dcterms:modified>
</cp:coreProperties>
</file>