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Style w:val="a"/>
        <w:tblW w:w="14700" w:type="dxa"/>
        <w:tblInd w:w="-115" w:type="dxa"/>
        <w:tblLayout w:type="fixed"/>
        <w:tblLook w:val="04A0" w:firstRow="1" w:lastRow="0" w:firstColumn="1" w:lastColumn="0" w:noHBand="0" w:noVBand="1"/>
      </w:tblPr>
      <w:tblGrid>
        <w:gridCol w:w="5556"/>
        <w:gridCol w:w="9144"/>
      </w:tblGrid>
      <w:tr w:rsidR="00307CD5" w:rsidRPr="000313DF" w14:paraId="6517B292" w14:textId="77777777" w:rsidTr="00A6524A">
        <w:trPr>
          <w:trHeight w:val="1541"/>
        </w:trPr>
        <w:tc>
          <w:tcPr>
            <w:tcW w:w="5556" w:type="dxa"/>
          </w:tcPr>
          <w:p w14:paraId="4FE36299" w14:textId="2CB221E3" w:rsidR="00307CD5" w:rsidRPr="000313DF" w:rsidRDefault="00307CD5" w:rsidP="00A5464F">
            <w:pPr>
              <w:jc w:val="center"/>
              <w:rPr>
                <w:rFonts w:ascii="Times New Roman" w:eastAsia="Times New Roman" w:hAnsi="Times New Roman" w:cs="Times New Roman"/>
              </w:rPr>
            </w:pPr>
            <w:r w:rsidRPr="000313DF">
              <w:rPr>
                <w:rFonts w:ascii="Times New Roman" w:eastAsia="Times New Roman" w:hAnsi="Times New Roman" w:cs="Times New Roman"/>
                <w:b/>
                <w:bCs/>
                <w:sz w:val="26"/>
                <w:szCs w:val="26"/>
              </w:rPr>
              <w:t>BỘ CÔNG AN</w:t>
            </w:r>
          </w:p>
          <w:p w14:paraId="614A6026" w14:textId="48CACFEA" w:rsidR="00307CD5" w:rsidRPr="000313DF" w:rsidRDefault="00625698" w:rsidP="00A5464F">
            <w:pPr>
              <w:jc w:val="center"/>
              <w:rPr>
                <w:rFonts w:ascii="Times New Roman" w:eastAsia="Times New Roman" w:hAnsi="Times New Roman" w:cs="Times New Roman"/>
                <w:sz w:val="26"/>
                <w:szCs w:val="26"/>
              </w:rPr>
            </w:pPr>
            <w:r w:rsidRPr="000313DF">
              <w:rPr>
                <w:noProof/>
              </w:rPr>
              <mc:AlternateContent>
                <mc:Choice Requires="wps">
                  <w:drawing>
                    <wp:anchor distT="0" distB="0" distL="114300" distR="114300" simplePos="0" relativeHeight="251664384" behindDoc="0" locked="0" layoutInCell="1" allowOverlap="1" wp14:anchorId="592A82EC" wp14:editId="22C146EC">
                      <wp:simplePos x="0" y="0"/>
                      <wp:positionH relativeFrom="column">
                        <wp:posOffset>1394460</wp:posOffset>
                      </wp:positionH>
                      <wp:positionV relativeFrom="paragraph">
                        <wp:posOffset>43180</wp:posOffset>
                      </wp:positionV>
                      <wp:extent cx="506896" cy="0"/>
                      <wp:effectExtent l="0" t="0" r="13970" b="12700"/>
                      <wp:wrapNone/>
                      <wp:docPr id="742069488" name="Straight Connector 7"/>
                      <wp:cNvGraphicFramePr/>
                      <a:graphic xmlns:a="http://schemas.openxmlformats.org/drawingml/2006/main">
                        <a:graphicData uri="http://schemas.microsoft.com/office/word/2010/wordprocessingShape">
                          <wps:wsp>
                            <wps:cNvCnPr/>
                            <wps:spPr>
                              <a:xfrm>
                                <a:off x="0" y="0"/>
                                <a:ext cx="5068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7F6CA"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9.8pt,3.4pt" to="149.7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" strokecolor="black [3040]"/>
                  </w:pict>
                </mc:Fallback>
              </mc:AlternateContent>
            </w:r>
          </w:p>
          <w:p w14:paraId="7D576B91" w14:textId="77777777" w:rsidR="00307CD5" w:rsidRPr="000313DF" w:rsidRDefault="00307CD5" w:rsidP="00A5464F">
            <w:pPr>
              <w:jc w:val="center"/>
              <w:rPr>
                <w:rFonts w:ascii="Times New Roman" w:eastAsia="Times New Roman" w:hAnsi="Times New Roman" w:cs="Times New Roman"/>
                <w:sz w:val="26"/>
                <w:szCs w:val="26"/>
              </w:rPr>
            </w:pPr>
          </w:p>
          <w:p w14:paraId="1DC68ABF" w14:textId="7A9B8804" w:rsidR="00307CD5" w:rsidRPr="000313DF" w:rsidRDefault="00307CD5" w:rsidP="00A5464F">
            <w:pPr>
              <w:jc w:val="center"/>
              <w:rPr>
                <w:rFonts w:ascii="Times New Roman" w:eastAsia="Times New Roman" w:hAnsi="Times New Roman" w:cs="Times New Roman"/>
              </w:rPr>
            </w:pPr>
          </w:p>
        </w:tc>
        <w:tc>
          <w:tcPr>
            <w:tcW w:w="9144" w:type="dxa"/>
          </w:tcPr>
          <w:p w14:paraId="64C5789B" w14:textId="77777777" w:rsidR="00307CD5" w:rsidRPr="000313DF" w:rsidRDefault="00307CD5" w:rsidP="00A5464F">
            <w:pPr>
              <w:jc w:val="center"/>
              <w:rPr>
                <w:rFonts w:ascii="Times New Roman" w:eastAsia="Times New Roman" w:hAnsi="Times New Roman" w:cs="Times New Roman"/>
              </w:rPr>
            </w:pPr>
            <w:r w:rsidRPr="000313DF">
              <w:rPr>
                <w:rFonts w:ascii="Times New Roman" w:eastAsia="Times New Roman" w:hAnsi="Times New Roman" w:cs="Times New Roman"/>
                <w:b/>
                <w:bCs/>
                <w:sz w:val="26"/>
                <w:szCs w:val="26"/>
              </w:rPr>
              <w:t>CỘNG HÒA XÃ HỘI CHỦ NGHĨA VIỆT NAM</w:t>
            </w:r>
          </w:p>
          <w:p w14:paraId="06B0CD7F" w14:textId="77777777" w:rsidR="00307CD5" w:rsidRPr="000313DF" w:rsidRDefault="00307CD5" w:rsidP="00A5464F">
            <w:pPr>
              <w:jc w:val="center"/>
              <w:rPr>
                <w:rFonts w:ascii="Times New Roman" w:eastAsia="Times New Roman" w:hAnsi="Times New Roman" w:cs="Times New Roman"/>
              </w:rPr>
            </w:pPr>
            <w:r w:rsidRPr="000313DF">
              <w:rPr>
                <w:rFonts w:ascii="Times New Roman" w:eastAsia="Times New Roman" w:hAnsi="Times New Roman" w:cs="Times New Roman"/>
                <w:b/>
                <w:bCs/>
                <w:sz w:val="26"/>
                <w:szCs w:val="26"/>
              </w:rPr>
              <w:t>Độc lập – Tự do – Hạnh phúc</w:t>
            </w:r>
          </w:p>
          <w:p w14:paraId="47C825ED" w14:textId="77777777" w:rsidR="00307CD5" w:rsidRPr="000313DF" w:rsidRDefault="00307CD5" w:rsidP="00A5464F">
            <w:pPr>
              <w:rPr>
                <w:rFonts w:ascii="Times New Roman" w:eastAsia="Times New Roman" w:hAnsi="Times New Roman" w:cs="Times New Roman"/>
                <w:i/>
                <w:iCs/>
                <w:sz w:val="26"/>
                <w:szCs w:val="26"/>
              </w:rPr>
            </w:pPr>
            <w:r w:rsidRPr="000313DF">
              <w:rPr>
                <w:noProof/>
              </w:rPr>
              <mc:AlternateContent>
                <mc:Choice Requires="wps">
                  <w:drawing>
                    <wp:anchor distT="0" distB="0" distL="114300" distR="114300" simplePos="0" relativeHeight="251663360" behindDoc="0" locked="0" layoutInCell="1" allowOverlap="1" wp14:anchorId="01188C5C" wp14:editId="1FE3F7B8">
                      <wp:simplePos x="0" y="0"/>
                      <wp:positionH relativeFrom="column">
                        <wp:posOffset>1845169</wp:posOffset>
                      </wp:positionH>
                      <wp:positionV relativeFrom="paragraph">
                        <wp:posOffset>24130</wp:posOffset>
                      </wp:positionV>
                      <wp:extent cx="2087217" cy="0"/>
                      <wp:effectExtent l="0" t="0" r="8890" b="12700"/>
                      <wp:wrapNone/>
                      <wp:docPr id="530655208" name="Straight Connector 5"/>
                      <wp:cNvGraphicFramePr/>
                      <a:graphic xmlns:a="http://schemas.openxmlformats.org/drawingml/2006/main">
                        <a:graphicData uri="http://schemas.microsoft.com/office/word/2010/wordprocessingShape">
                          <wps:wsp>
                            <wps:cNvCnPr/>
                            <wps:spPr>
                              <a:xfrm>
                                <a:off x="0" y="0"/>
                                <a:ext cx="20872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3B30D"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3pt,1.9pt" to="309.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" strokecolor="black [3040]"/>
                  </w:pict>
                </mc:Fallback>
              </mc:AlternateContent>
            </w:r>
          </w:p>
          <w:p w14:paraId="6463D60E" w14:textId="07A3091E" w:rsidR="00307CD5" w:rsidRPr="000313DF" w:rsidRDefault="00307CD5" w:rsidP="00307CD5">
            <w:pPr>
              <w:jc w:val="center"/>
              <w:rPr>
                <w:rFonts w:ascii="Times New Roman" w:eastAsia="Times New Roman" w:hAnsi="Times New Roman" w:cs="Times New Roman"/>
                <w:sz w:val="28"/>
                <w:szCs w:val="28"/>
              </w:rPr>
            </w:pPr>
            <w:r w:rsidRPr="000313DF">
              <w:rPr>
                <w:rFonts w:ascii="Times New Roman" w:eastAsia="Times New Roman" w:hAnsi="Times New Roman" w:cs="Times New Roman"/>
                <w:i/>
                <w:iCs/>
                <w:sz w:val="28"/>
                <w:szCs w:val="28"/>
              </w:rPr>
              <w:t>Hà Nội, ngày     tháng    năm 2026</w:t>
            </w:r>
          </w:p>
        </w:tc>
      </w:tr>
    </w:tbl>
    <w:p w14:paraId="66949344" w14:textId="0FA160FF" w:rsidR="00D910D5" w:rsidRPr="000313DF" w:rsidRDefault="00000000" w:rsidP="00A6524A">
      <w:pPr>
        <w:jc w:val="center"/>
        <w:rPr>
          <w:rFonts w:ascii="Times New Roman" w:eastAsia="Times New Roman" w:hAnsi="Times New Roman" w:cs="Times New Roman"/>
          <w:b/>
          <w:bCs/>
          <w:sz w:val="28"/>
          <w:szCs w:val="28"/>
        </w:rPr>
      </w:pPr>
      <w:r w:rsidRPr="000313DF">
        <w:rPr>
          <w:rFonts w:ascii="Times New Roman" w:eastAsia="Times New Roman" w:hAnsi="Times New Roman" w:cs="Times New Roman"/>
          <w:b/>
          <w:bCs/>
          <w:sz w:val="28"/>
          <w:szCs w:val="28"/>
        </w:rPr>
        <w:t>BẢN THUYẾT MINH QUY PHẠM HÓA CHÍNH SÁCH CỦA</w:t>
      </w:r>
    </w:p>
    <w:p w14:paraId="6CE28A91" w14:textId="77777777" w:rsidR="00D910D5" w:rsidRPr="000313DF" w:rsidRDefault="00000000" w:rsidP="006854A2">
      <w:pPr>
        <w:jc w:val="center"/>
        <w:rPr>
          <w:rFonts w:ascii="Times New Roman" w:eastAsia="Times New Roman" w:hAnsi="Times New Roman" w:cs="Times New Roman"/>
          <w:b/>
          <w:bCs/>
          <w:sz w:val="28"/>
          <w:szCs w:val="28"/>
        </w:rPr>
      </w:pPr>
      <w:r w:rsidRPr="000313DF">
        <w:rPr>
          <w:rFonts w:ascii="Times New Roman" w:eastAsia="Times New Roman" w:hAnsi="Times New Roman" w:cs="Times New Roman"/>
          <w:b/>
          <w:bCs/>
          <w:sz w:val="28"/>
          <w:szCs w:val="28"/>
        </w:rPr>
        <w:t>LUẬT ĐỊNH DANH VÀ XÁC THỰC ĐIỆN TỬ</w:t>
      </w:r>
    </w:p>
    <w:p w14:paraId="49EAC7F9" w14:textId="77777777" w:rsidR="00D910D5" w:rsidRPr="000313DF" w:rsidRDefault="00D910D5">
      <w:pPr>
        <w:spacing w:before="120"/>
        <w:jc w:val="center"/>
        <w:rPr>
          <w:rFonts w:ascii="Times New Roman" w:eastAsia="Times New Roman" w:hAnsi="Times New Roman" w:cs="Times New Roman"/>
          <w:b/>
          <w:bCs/>
          <w:sz w:val="28"/>
          <w:szCs w:val="28"/>
        </w:rPr>
      </w:pPr>
    </w:p>
    <w:tbl>
      <w:tblPr>
        <w:tblStyle w:val="TableGrid"/>
        <w:tblW w:w="14317" w:type="dxa"/>
        <w:tblInd w:w="137" w:type="dxa"/>
        <w:tblLayout w:type="fixed"/>
        <w:tblLook w:val="0000" w:firstRow="0" w:lastRow="0" w:firstColumn="0" w:lastColumn="0" w:noHBand="0" w:noVBand="0"/>
      </w:tblPr>
      <w:tblGrid>
        <w:gridCol w:w="2693"/>
        <w:gridCol w:w="5103"/>
        <w:gridCol w:w="6521"/>
      </w:tblGrid>
      <w:tr w:rsidR="00D910D5" w:rsidRPr="000313DF" w14:paraId="207AC269" w14:textId="77777777" w:rsidTr="00A6524A">
        <w:trPr>
          <w:tblHeader/>
        </w:trPr>
        <w:tc>
          <w:tcPr>
            <w:tcW w:w="2693" w:type="dxa"/>
            <w:vAlign w:val="center"/>
          </w:tcPr>
          <w:p w14:paraId="4F06797E" w14:textId="77777777" w:rsidR="00D910D5" w:rsidRPr="000313DF" w:rsidRDefault="00000000" w:rsidP="00307CD5">
            <w:pPr>
              <w:spacing w:before="60" w:after="60"/>
              <w:jc w:val="center"/>
              <w:rPr>
                <w:rFonts w:ascii="Times New Roman" w:eastAsia="Times New Roman" w:hAnsi="Times New Roman" w:cs="Times New Roman"/>
                <w:b/>
                <w:bCs/>
                <w:sz w:val="28"/>
                <w:szCs w:val="28"/>
              </w:rPr>
            </w:pPr>
            <w:r w:rsidRPr="000313DF">
              <w:rPr>
                <w:rFonts w:ascii="Times New Roman" w:eastAsia="Times New Roman" w:hAnsi="Times New Roman" w:cs="Times New Roman"/>
                <w:b/>
                <w:bCs/>
                <w:sz w:val="28"/>
                <w:szCs w:val="28"/>
              </w:rPr>
              <w:t>TÊN CHÍNH SÁCH</w:t>
            </w:r>
          </w:p>
        </w:tc>
        <w:tc>
          <w:tcPr>
            <w:tcW w:w="5103" w:type="dxa"/>
            <w:vAlign w:val="center"/>
          </w:tcPr>
          <w:p w14:paraId="459AEB6C" w14:textId="3B11409C" w:rsidR="00D910D5" w:rsidRPr="000313DF" w:rsidRDefault="00307CD5" w:rsidP="00307CD5">
            <w:pPr>
              <w:spacing w:before="60" w:after="60"/>
              <w:jc w:val="center"/>
              <w:rPr>
                <w:rFonts w:ascii="Times New Roman" w:eastAsia="Times New Roman" w:hAnsi="Times New Roman" w:cs="Times New Roman"/>
                <w:b/>
                <w:bCs/>
                <w:sz w:val="28"/>
                <w:szCs w:val="28"/>
              </w:rPr>
            </w:pPr>
            <w:r w:rsidRPr="000313DF">
              <w:rPr>
                <w:noProof/>
              </w:rPr>
              <mc:AlternateContent>
                <mc:Choice Requires="wps">
                  <w:drawing>
                    <wp:anchor distT="0" distB="0" distL="114935" distR="114935" simplePos="0" relativeHeight="251662336" behindDoc="0" locked="0" layoutInCell="1" allowOverlap="1" wp14:anchorId="09C2BCB2" wp14:editId="27C1F867">
                      <wp:simplePos x="0" y="0"/>
                      <wp:positionH relativeFrom="column">
                        <wp:posOffset>-911225</wp:posOffset>
                      </wp:positionH>
                      <wp:positionV relativeFrom="paragraph">
                        <wp:posOffset>-1329055</wp:posOffset>
                      </wp:positionV>
                      <wp:extent cx="1049655" cy="371475"/>
                      <wp:effectExtent l="0" t="0" r="0" b="0"/>
                      <wp:wrapNone/>
                      <wp:docPr id="2070134521" name="Rectangle 2070134521"/>
                      <wp:cNvGraphicFramePr/>
                      <a:graphic xmlns:a="http://schemas.openxmlformats.org/drawingml/2006/main">
                        <a:graphicData uri="http://schemas.microsoft.com/office/word/2010/wordprocessingShape">
                          <wps:wsp>
                            <wps:cNvSpPr/>
                            <wps:spPr>
                              <a:xfrm>
                                <a:off x="0" y="0"/>
                                <a:ext cx="1049655" cy="3714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7DD22E" w14:textId="77777777" w:rsidR="00307CD5" w:rsidRPr="00BB3193" w:rsidRDefault="00307CD5" w:rsidP="00307CD5">
                                  <w:pPr>
                                    <w:spacing w:before="60" w:after="60"/>
                                    <w:jc w:val="center"/>
                                    <w:rPr>
                                      <w:b/>
                                      <w:bCs/>
                                    </w:rPr>
                                  </w:pPr>
                                  <w:r w:rsidRPr="00BB3193">
                                    <w:rPr>
                                      <w:rFonts w:ascii="Times New Roman" w:eastAsia="Times New Roman" w:hAnsi="Times New Roman" w:cs="Times New Roman"/>
                                      <w:b/>
                                      <w:bCs/>
                                      <w:color w:val="000000"/>
                                      <w:sz w:val="28"/>
                                    </w:rPr>
                                    <w:t>DỰ THẢO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C2BCB2" id="Rectangle 2070134521" o:spid="_x0000_s1026" style="position:absolute;left:0;text-align:left;margin-left:-71.75pt;margin-top:-104.65pt;width:82.65pt;height:29.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">
                      <v:stroke startarrowwidth="narrow" startarrowlength="short" endarrowwidth="narrow" endarrowlength="short" joinstyle="round"/>
                      <v:textbox inset="2.53958mm,1.2694mm,2.53958mm,1.2694mm">
                        <w:txbxContent>
                          <w:p w14:paraId="077DD22E" w14:textId="77777777" w:rsidR="00307CD5" w:rsidRPr="00BB3193" w:rsidRDefault="00307CD5" w:rsidP="00307CD5">
                            <w:pPr>
                              <w:spacing w:before="60" w:after="60"/>
                              <w:jc w:val="center"/>
                              <w:rPr>
                                <w:b/>
                                <w:bCs/>
                              </w:rPr>
                            </w:pPr>
                            <w:r w:rsidRPr="00BB3193">
                              <w:rPr>
                                <w:rFonts w:ascii="Times New Roman" w:eastAsia="Times New Roman" w:hAnsi="Times New Roman" w:cs="Times New Roman"/>
                                <w:b/>
                                <w:bCs/>
                                <w:color w:val="000000"/>
                                <w:sz w:val="28"/>
                              </w:rPr>
                              <w:t>DỰ THẢO</w:t>
                            </w:r>
                          </w:p>
                        </w:txbxContent>
                      </v:textbox>
                    </v:rect>
                  </w:pict>
                </mc:Fallback>
              </mc:AlternateContent>
            </w:r>
            <w:r w:rsidRPr="000313DF">
              <w:rPr>
                <w:rFonts w:ascii="Times New Roman" w:eastAsia="Times New Roman" w:hAnsi="Times New Roman" w:cs="Times New Roman"/>
                <w:b/>
                <w:bCs/>
                <w:sz w:val="28"/>
                <w:szCs w:val="28"/>
              </w:rPr>
              <w:t>NỘI DUNG, GIẢI PHÁP THỰC HIỆN CHÍNH SÁCH ĐƯỢC LỰA CHỌN</w:t>
            </w:r>
          </w:p>
        </w:tc>
        <w:tc>
          <w:tcPr>
            <w:tcW w:w="6521" w:type="dxa"/>
            <w:vAlign w:val="center"/>
          </w:tcPr>
          <w:p w14:paraId="63467170" w14:textId="1FE86994" w:rsidR="00D910D5" w:rsidRPr="000313DF" w:rsidRDefault="00000000" w:rsidP="00307CD5">
            <w:pPr>
              <w:spacing w:before="60" w:after="60"/>
              <w:jc w:val="center"/>
              <w:rPr>
                <w:rFonts w:ascii="Times New Roman" w:eastAsia="Times New Roman" w:hAnsi="Times New Roman" w:cs="Times New Roman"/>
                <w:b/>
                <w:bCs/>
                <w:sz w:val="28"/>
                <w:szCs w:val="28"/>
              </w:rPr>
            </w:pPr>
            <w:r w:rsidRPr="000313DF">
              <w:rPr>
                <w:rFonts w:ascii="Times New Roman" w:eastAsia="Times New Roman" w:hAnsi="Times New Roman" w:cs="Times New Roman"/>
                <w:b/>
                <w:bCs/>
                <w:sz w:val="28"/>
                <w:szCs w:val="28"/>
              </w:rPr>
              <w:t xml:space="preserve">DỰ KIẾN QUY PHẠM HÓA NỘI DUNG </w:t>
            </w:r>
            <w:r w:rsidR="00307CD5" w:rsidRPr="000313DF">
              <w:rPr>
                <w:rFonts w:ascii="Times New Roman" w:eastAsia="Times New Roman" w:hAnsi="Times New Roman" w:cs="Times New Roman"/>
                <w:b/>
                <w:bCs/>
                <w:sz w:val="28"/>
                <w:szCs w:val="28"/>
              </w:rPr>
              <w:t>GIẢI PHÁP</w:t>
            </w:r>
            <w:r w:rsidRPr="000313DF">
              <w:rPr>
                <w:rFonts w:ascii="Times New Roman" w:eastAsia="Times New Roman" w:hAnsi="Times New Roman" w:cs="Times New Roman"/>
                <w:b/>
                <w:bCs/>
                <w:sz w:val="28"/>
                <w:szCs w:val="28"/>
              </w:rPr>
              <w:t xml:space="preserve"> THỰC HIỆN CHÍNH SÁCH ĐƯỢC LỰA CHỌN TRONG DỰ THẢO LUẬT</w:t>
            </w:r>
          </w:p>
        </w:tc>
      </w:tr>
      <w:tr w:rsidR="00D910D5" w:rsidRPr="000313DF" w14:paraId="2AA910BD" w14:textId="77777777" w:rsidTr="00A6524A">
        <w:tc>
          <w:tcPr>
            <w:tcW w:w="2693" w:type="dxa"/>
          </w:tcPr>
          <w:p w14:paraId="2080FF20" w14:textId="77777777" w:rsidR="00D910D5" w:rsidRPr="000313DF" w:rsidRDefault="00000000" w:rsidP="00307CD5">
            <w:pPr>
              <w:spacing w:before="60" w:after="60"/>
              <w:jc w:val="both"/>
            </w:pPr>
            <w:bookmarkStart w:id="0" w:name="_doh64dlu9mf4" w:colFirst="0" w:colLast="0"/>
            <w:bookmarkEnd w:id="0"/>
            <w:r w:rsidRPr="00A6524A">
              <w:rPr>
                <w:rFonts w:ascii="Times New Roman" w:eastAsia="Times New Roman" w:hAnsi="Times New Roman" w:cs="Times New Roman"/>
                <w:b/>
                <w:bCs/>
                <w:sz w:val="28"/>
                <w:szCs w:val="28"/>
              </w:rPr>
              <w:t>Chính sách 1.</w:t>
            </w:r>
            <w:r w:rsidRPr="00A6524A">
              <w:rPr>
                <w:rFonts w:ascii="Times New Roman" w:eastAsia="Times New Roman" w:hAnsi="Times New Roman" w:cs="Times New Roman"/>
                <w:sz w:val="28"/>
                <w:szCs w:val="28"/>
              </w:rPr>
              <w:t xml:space="preserve"> Thiết lập cơ chế cấp mã định danh và xác thực điện tử thống nhất, duy nhất cho chủ thể, đối tượng, không gian, dữ liệu và quá trình giao dịch trong quản lý nhà nước, kinh tế - xã hội số</w:t>
            </w:r>
          </w:p>
          <w:p w14:paraId="0FC84552" w14:textId="77777777" w:rsidR="00D910D5" w:rsidRPr="00A6524A" w:rsidRDefault="00D910D5" w:rsidP="00307CD5">
            <w:pPr>
              <w:spacing w:before="60" w:after="60"/>
              <w:jc w:val="both"/>
              <w:rPr>
                <w:rFonts w:ascii="Times New Roman" w:eastAsia="Times New Roman" w:hAnsi="Times New Roman" w:cs="Times New Roman"/>
                <w:sz w:val="28"/>
                <w:szCs w:val="28"/>
              </w:rPr>
            </w:pPr>
          </w:p>
        </w:tc>
        <w:tc>
          <w:tcPr>
            <w:tcW w:w="5103" w:type="dxa"/>
          </w:tcPr>
          <w:p w14:paraId="11181456" w14:textId="3227227E" w:rsidR="00D910D5" w:rsidRPr="000313DF" w:rsidRDefault="00307CD5" w:rsidP="00307CD5">
            <w:pPr>
              <w:spacing w:before="60" w:after="60"/>
              <w:jc w:val="both"/>
            </w:pPr>
            <w:r w:rsidRPr="00A6524A">
              <w:rPr>
                <w:rFonts w:ascii="Times New Roman" w:eastAsia="Times New Roman" w:hAnsi="Times New Roman" w:cs="Times New Roman"/>
                <w:sz w:val="28"/>
                <w:szCs w:val="28"/>
              </w:rPr>
              <w:t>Giải pháp</w:t>
            </w:r>
            <w:r w:rsidR="00000000" w:rsidRPr="00A6524A">
              <w:rPr>
                <w:rFonts w:ascii="Times New Roman" w:eastAsia="Times New Roman" w:hAnsi="Times New Roman" w:cs="Times New Roman"/>
                <w:sz w:val="28"/>
                <w:szCs w:val="28"/>
              </w:rPr>
              <w:t xml:space="preserve"> 3: Quy định phạm vi, đối tượng được định danh và xác thực điện tử một cách toàn diện, bao quát toàn bộ các đối tượng trong quản lý nhà nước và hoạt động kinh tế - xã hội, bảo đảm mỗi đối tượng được cấp một mã định danh duy nhất, bao gồm:</w:t>
            </w:r>
          </w:p>
          <w:p w14:paraId="63D0EDE6"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Định danh và xác thực điện tử đối với cơ quan, tổ chức, cá nhân.</w:t>
            </w:r>
          </w:p>
          <w:p w14:paraId="61437568"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Định danh và xác thực điện tử đối với đối tượng tồn tại dưới dạng vật chất.</w:t>
            </w:r>
          </w:p>
          <w:p w14:paraId="73FC0359" w14:textId="77777777" w:rsidR="00D910D5" w:rsidRPr="000313DF" w:rsidRDefault="00000000" w:rsidP="00307CD5">
            <w:pPr>
              <w:spacing w:before="60" w:after="60"/>
              <w:jc w:val="both"/>
            </w:pPr>
            <w:r w:rsidRPr="00A6524A">
              <w:rPr>
                <w:rFonts w:ascii="Times New Roman" w:eastAsia="Times New Roman" w:hAnsi="Times New Roman" w:cs="Times New Roman"/>
                <w:sz w:val="28"/>
                <w:szCs w:val="28"/>
              </w:rPr>
              <w:t>- Định danh và xác thực điện tử các đối tượng tồn tại dưới dạng phi vật chất.</w:t>
            </w:r>
          </w:p>
          <w:p w14:paraId="2619751B"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Định danh và xác thực điện tử đối với địa điểm, không gian.</w:t>
            </w:r>
          </w:p>
          <w:p w14:paraId="39AE4561"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Định danh và xác thực điện tử đối với các hoạt động, sự kiện, giao dịch, hành vi.</w:t>
            </w:r>
          </w:p>
        </w:tc>
        <w:tc>
          <w:tcPr>
            <w:tcW w:w="6521" w:type="dxa"/>
          </w:tcPr>
          <w:p w14:paraId="6DA87965"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Đối tượng định danh và xác thực điện tử bao gồm:</w:t>
            </w:r>
          </w:p>
          <w:p w14:paraId="73460BC1"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Cơ quan, tổ chức, cá nhân.</w:t>
            </w:r>
          </w:p>
          <w:p w14:paraId="1BD03E56"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Các đối tượng tồn tại dưới dạng vật chất: sản phẩm, hàng hóa, thiết bị và các loại tài sản, vật chất khác.</w:t>
            </w:r>
          </w:p>
          <w:p w14:paraId="1EF423FD"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Các đối tượng tồn tại dưới dạng phi vật chất, cụ thể: (i) Dữ liệu và tài nguyên số: cơ sở dữ liệu, tệp dữ liệu, hình ảnh, video, các dữ liệu và tài nguyên số khác; (ii) Tên miền, địa chỉ mạng, ứng dụng, phần mềm và các dịch vụ số; (iii) Quyền tài sản và quyền sở hữu trí tuệ: quyền tác giả, quyền liên quan; sáng chế, nhãn hiệu, kiểu dáng công nghiệp; các quyền tài sản khác theo quy định pháp luật; (iv) Tài sản số theo quy định của pháp luật về công nghiệp công nghệ số; (v) Di sản văn hóa phi vật thể; (vi) Các đối tượng phi vật chất khác.</w:t>
            </w:r>
          </w:p>
          <w:p w14:paraId="2100FA80" w14:textId="5EA7E2A5" w:rsidR="00FF7B98" w:rsidRPr="000313DF" w:rsidRDefault="00FF7B98" w:rsidP="00307CD5">
            <w:pPr>
              <w:spacing w:before="60" w:after="60"/>
              <w:jc w:val="both"/>
            </w:pPr>
            <w:r w:rsidRPr="00A6524A">
              <w:rPr>
                <w:rFonts w:ascii="Times New Roman" w:eastAsia="Times New Roman" w:hAnsi="Times New Roman" w:cs="Times New Roman"/>
                <w:sz w:val="28"/>
                <w:szCs w:val="28"/>
              </w:rPr>
              <w:t>+ Địa điểm, vị trí, không gian.</w:t>
            </w:r>
          </w:p>
          <w:p w14:paraId="171563F9" w14:textId="77777777" w:rsidR="00D910D5" w:rsidRPr="00A6524A"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Các hoạt động, sự kiện, giao dịch, hành vi, tương tác giữa các đối tượng.</w:t>
            </w:r>
          </w:p>
        </w:tc>
      </w:tr>
      <w:tr w:rsidR="00D910D5" w:rsidRPr="000313DF" w14:paraId="71B3022B" w14:textId="77777777" w:rsidTr="00A6524A">
        <w:tc>
          <w:tcPr>
            <w:tcW w:w="2693" w:type="dxa"/>
          </w:tcPr>
          <w:p w14:paraId="32F3EEDD" w14:textId="77777777" w:rsidR="00D910D5" w:rsidRPr="00A6524A" w:rsidRDefault="00000000" w:rsidP="00307CD5">
            <w:pPr>
              <w:spacing w:before="60" w:after="60"/>
              <w:jc w:val="both"/>
              <w:rPr>
                <w:rFonts w:ascii="Times New Roman" w:eastAsia="Times New Roman" w:hAnsi="Times New Roman" w:cs="Times New Roman"/>
                <w:sz w:val="28"/>
                <w:szCs w:val="28"/>
              </w:rPr>
            </w:pPr>
            <w:bookmarkStart w:id="1" w:name="_q4yf7jb71box" w:colFirst="0" w:colLast="0"/>
            <w:bookmarkEnd w:id="1"/>
            <w:r w:rsidRPr="00A6524A">
              <w:rPr>
                <w:rFonts w:ascii="Times New Roman" w:eastAsia="Times New Roman" w:hAnsi="Times New Roman" w:cs="Times New Roman"/>
                <w:b/>
                <w:bCs/>
                <w:sz w:val="28"/>
                <w:szCs w:val="28"/>
              </w:rPr>
              <w:lastRenderedPageBreak/>
              <w:t>Chính sách 2:</w:t>
            </w:r>
            <w:r w:rsidRPr="00A6524A">
              <w:rPr>
                <w:rFonts w:ascii="Times New Roman" w:eastAsia="Times New Roman" w:hAnsi="Times New Roman" w:cs="Times New Roman"/>
                <w:b/>
                <w:bCs/>
                <w:i/>
                <w:iCs/>
                <w:sz w:val="28"/>
                <w:szCs w:val="28"/>
              </w:rPr>
              <w:t xml:space="preserve"> </w:t>
            </w:r>
            <w:r w:rsidRPr="00A6524A">
              <w:rPr>
                <w:rFonts w:ascii="Times New Roman" w:eastAsia="Times New Roman" w:hAnsi="Times New Roman" w:cs="Times New Roman"/>
                <w:sz w:val="28"/>
                <w:szCs w:val="28"/>
              </w:rPr>
              <w:t>Xây dựng Cơ sở dữ liệu quốc gia về định danh và xác thực điện tử, gắn với phát triển Ứng dụng định danh quốc gia (VNeID) để khai thác, chia sẻ dữ liệu và cung cấp dịch vụ số thống nhất</w:t>
            </w:r>
          </w:p>
        </w:tc>
        <w:tc>
          <w:tcPr>
            <w:tcW w:w="5103" w:type="dxa"/>
          </w:tcPr>
          <w:p w14:paraId="531F63B5" w14:textId="2262F971" w:rsidR="00D910D5" w:rsidRPr="000313DF" w:rsidRDefault="00307CD5" w:rsidP="00307CD5">
            <w:pPr>
              <w:widowControl/>
              <w:spacing w:before="60" w:after="60"/>
              <w:jc w:val="both"/>
            </w:pPr>
            <w:r w:rsidRPr="00A6524A">
              <w:rPr>
                <w:rFonts w:ascii="Times New Roman" w:eastAsia="Times New Roman" w:hAnsi="Times New Roman" w:cs="Times New Roman"/>
                <w:sz w:val="28"/>
                <w:szCs w:val="28"/>
              </w:rPr>
              <w:t>Giải pháp</w:t>
            </w:r>
            <w:r w:rsidR="00000000" w:rsidRPr="00A6524A">
              <w:rPr>
                <w:rFonts w:ascii="Times New Roman" w:eastAsia="Times New Roman" w:hAnsi="Times New Roman" w:cs="Times New Roman"/>
                <w:sz w:val="28"/>
                <w:szCs w:val="28"/>
              </w:rPr>
              <w:t xml:space="preserve"> 3:</w:t>
            </w:r>
            <w:r w:rsidR="00000000" w:rsidRPr="00A6524A">
              <w:t xml:space="preserve"> </w:t>
            </w:r>
            <w:r w:rsidR="00000000" w:rsidRPr="00A6524A">
              <w:rPr>
                <w:rFonts w:ascii="Times New Roman" w:eastAsia="Times New Roman" w:hAnsi="Times New Roman" w:cs="Times New Roman"/>
                <w:sz w:val="28"/>
                <w:szCs w:val="28"/>
              </w:rPr>
              <w:t>Xây dựng Cơ sở dữ liệu quốc gia về định danh và xác thực điện tử và phát triển ứng dụng định danh quốc gia VNeID</w:t>
            </w:r>
          </w:p>
          <w:p w14:paraId="76410545" w14:textId="3F50836D"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xml:space="preserve">Quy định về Cơ sở dữ liệu quốc gia về định danh và xác thực điện tử trên cơ sở thu thập, đồng bộ, lưu trữ các trường thông tin,  dữ liệu định danh điện tử và dữ liệu xác thực điện tử cần thiết về Cơ sở dữ liệu quốc gia về định danh và xác thực điện tử. Bao gồm các nội dung về: (1) Cập nhật, đồng bộ, lưu trữ các trường thông tin, dữ liệu cần thiết về định danh và xác thực điện tử tại Cơ sở dữ liệu quốc gia về định danh và xác thực điện tử theo nguyên tắc tối thiểu hóa dữ liệu, khai thác dữ liệu chuyên ngành tại nguồn, tạo lập kho dữ liệu dùng chung về định danh và xác thực để thống kê, phân tích, tổng hợp phục vụ công tác quản lý nhà nước, các hoạt động giao dịch và phát triển kinh tế - xã hội; (2) Hoạt động xử lý, quản trị, chia sẻ dữ liệu liên quan đến Cơ sở dữ liệu quốc gia về định danh và xác thực điện tử. (3) Trách nhiệm cung cấp thông tin, dữ liệu của cơ quan nhà nước, tổ chức chính trị, tổ chức chính trị - xã hội, cá nhân, tổ chức khác; (4) Mối quan </w:t>
            </w:r>
            <w:r w:rsidRPr="00A6524A">
              <w:rPr>
                <w:rFonts w:ascii="Times New Roman" w:eastAsia="Times New Roman" w:hAnsi="Times New Roman" w:cs="Times New Roman"/>
                <w:sz w:val="28"/>
                <w:szCs w:val="28"/>
              </w:rPr>
              <w:lastRenderedPageBreak/>
              <w:t>hệ giữa Cơ sở dữ liệu quốc gia về định danh và xác thực điện tử với cơ sở dữ liệu quốc gia, cơ sở dữ liệu chuyên ngành, Cổng dịch vụ công quốc gia và cơ sở dữ liệu, hệ thống thông tin khác; (5) Phí, giá khai thác, sử dụng thông tin trong Cơ sở dữ liệu quốc gia về định danh và xác thực điện tử.</w:t>
            </w:r>
            <w:r w:rsidRPr="00A6524A">
              <w:rPr>
                <w:rFonts w:ascii="Times New Roman" w:eastAsia="Times New Roman" w:hAnsi="Times New Roman" w:cs="Times New Roman"/>
                <w:sz w:val="28"/>
                <w:szCs w:val="28"/>
              </w:rPr>
              <w:tab/>
            </w:r>
          </w:p>
          <w:p w14:paraId="37742533"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Quy định về phát triển Ứng dụng định danh quốc gia (VNeID) tập trung vào 06 nhóm chức năng cốt lõi: (1) Truy cập và quản lý dữ liệu của các cơ quan, tổ chức, cá nhân; (2) Cấp chữ ký số và phương thức xác thực khác phục vụ dịch vụ công, chuyển đổi số; (3) Cung cấp dịch vụ công; (4) Tích hợp nền tảng thanh toán quốc gia phục vụ an sinh xã hội; (5) Thiết lập kênh giao tiếp số Nhà nước và công dân; (6) Ghi nhận mức độ tham gia chuyển đổi số của cơ quan, tổ chức, cá nhân.</w:t>
            </w:r>
          </w:p>
        </w:tc>
        <w:tc>
          <w:tcPr>
            <w:tcW w:w="6521" w:type="dxa"/>
          </w:tcPr>
          <w:p w14:paraId="7DC3D630" w14:textId="19267A81"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lastRenderedPageBreak/>
              <w:t xml:space="preserve">Quy định về Cơ sở dữ liệu quốc gia về định danh điện tử theo hướng xây dựng hệ thống dữ liệu tập trung, thống nhất, bao gồm: (i) Thu thập, cập nhật, đồng bộ và lưu trữ dữ liệu định danh, xác thực điện tử từ các nguồn liên quan, hình thành kho dữ liệu dùng chung phục vụ quản lý nhà nước và các hoạt động giao dịch; (ii) Quản lý, khai thác và sử dụng dữ liệu, xác lập giá trị pháp lý và phạm vi, điều kiện truy cập của các chủ thể; (iii) Kết nối, chia sẻ dữ liệu với các cơ sở dữ liệu quốc gia, chuyên ngành và hệ thống thông tin có liên quan trên cơ sở bảo đảm an toàn, bảo mật; (iv) Quy định trách nhiệm của cơ quan, tổ chức, cá nhân trong cung cấp, cập nhật và bảo đảm tính chính xác của dữ liệu; (v) Quy định về phí khai thác, sử dụng dữ liệu theo nguyên tắc phù hợp với từng nhóm đối tượng </w:t>
            </w:r>
            <w:r w:rsidR="00FF7B98" w:rsidRPr="00A6524A">
              <w:rPr>
                <w:rFonts w:ascii="Times New Roman" w:eastAsia="Times New Roman" w:hAnsi="Times New Roman" w:cs="Times New Roman"/>
                <w:sz w:val="28"/>
                <w:szCs w:val="28"/>
              </w:rPr>
              <w:t xml:space="preserve">đảm bảo phù hợp với </w:t>
            </w:r>
            <w:r w:rsidRPr="00A6524A">
              <w:rPr>
                <w:rFonts w:ascii="Times New Roman" w:eastAsia="Times New Roman" w:hAnsi="Times New Roman" w:cs="Times New Roman"/>
                <w:sz w:val="28"/>
                <w:szCs w:val="28"/>
              </w:rPr>
              <w:t>pháp luật về phí, lệ phí</w:t>
            </w:r>
            <w:r w:rsidR="00FF7B98" w:rsidRPr="000313DF">
              <w:rPr>
                <w:rFonts w:ascii="Times New Roman" w:eastAsia="Times New Roman" w:hAnsi="Times New Roman" w:cs="Times New Roman"/>
                <w:sz w:val="28"/>
                <w:szCs w:val="28"/>
              </w:rPr>
              <w:t>.</w:t>
            </w:r>
          </w:p>
          <w:p w14:paraId="5CFCE646"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Quy định quyền và nghĩa vụ của cá nhân, tổ chức đối với dữ liệu định danh điện tử của mình; đồng thời quy định cụ thể các chủ thể có quyền khai thác và sử dụng dữ liệu trong Cơ sở quốc gia về định danh điện tử.</w:t>
            </w:r>
          </w:p>
          <w:p w14:paraId="6D1AE890"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xml:space="preserve">- Quy định về phương thức xác thực điện tử và việc lựa chọn phương tiện xác thực phù hợp với mức độ bảo đảm; quy định trình tự tạo lập, cấp, quản lý, lưu trữ và giá trị pháp lý của chứng thư điện tử xác nhận thông tin do cơ quan có thẩm quyền phát hành; quy định việc xuất trình, </w:t>
            </w:r>
            <w:r w:rsidRPr="00A6524A">
              <w:rPr>
                <w:rFonts w:ascii="Times New Roman" w:eastAsia="Times New Roman" w:hAnsi="Times New Roman" w:cs="Times New Roman"/>
                <w:sz w:val="28"/>
                <w:szCs w:val="28"/>
              </w:rPr>
              <w:lastRenderedPageBreak/>
              <w:t>sử dụng kết quả xác thực điện tử trong giao dịch bảo đảm an toàn, tin cậy.</w:t>
            </w:r>
          </w:p>
          <w:p w14:paraId="3C58D40C"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Quy định cơ chế khai thác, sử dụng danh tính điện tử theo mức độ bảo đảm; trong đó xác lập giá trị pháp lý của danh tính điện tử mức độ tương đương với việc xuất trình giấy tờ, tài liệu vật lý để chứng minh thông tin, làm cơ sở thực hiện thủ tục hành chính và cung cấp dịch vụ công trực tuyến.</w:t>
            </w:r>
          </w:p>
          <w:p w14:paraId="36CBB464"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Quy định Hệ thống định danh và xác thực điện tử quốc gia là nền tảng số quốc gia; xác định nguyên tắc, cơ chế và trách nhiệm kết nối, chia sẻ dữ liệu giữa Hệ thống với các cơ sở dữ liệu, hệ thống thông tin liên quan, bao gồm các nền tảng thanh toán, ngân hàng, nhằm tạo hành lang pháp lý cho việc tích hợp dịch vụ và triển khai các giao dịch điện tử, chi trả an sinh xã hội.</w:t>
            </w:r>
          </w:p>
          <w:p w14:paraId="3FD4269C" w14:textId="77777777" w:rsidR="00D910D5" w:rsidRPr="000313DF" w:rsidRDefault="00000000" w:rsidP="00307CD5">
            <w:pPr>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Quy định trách nhiệm tiếp nhận và phản hồi của cơ quan nhà nước đối với yêu cầu, giao dịch của cơ quan, tổ chức, cá nhân thực hiện qua Ứng dụng định danh quốc gia (VNeID), bảo đảm kênh giao tiếp hai chiều, khắc phục tình trạng tương tác một chiều.</w:t>
            </w:r>
          </w:p>
          <w:p w14:paraId="56C697AA" w14:textId="77777777" w:rsidR="00D910D5" w:rsidRPr="000313DF" w:rsidRDefault="00000000" w:rsidP="00307CD5">
            <w:pPr>
              <w:spacing w:before="60" w:after="60"/>
              <w:jc w:val="both"/>
              <w:rPr>
                <w:rFonts w:ascii="Times New Roman" w:eastAsia="Times New Roman" w:hAnsi="Times New Roman" w:cs="Times New Roman"/>
                <w:sz w:val="28"/>
                <w:szCs w:val="28"/>
              </w:rPr>
            </w:pPr>
            <w:r w:rsidRPr="000313DF">
              <w:rPr>
                <w:rFonts w:ascii="Times New Roman" w:eastAsia="Times New Roman" w:hAnsi="Times New Roman" w:cs="Times New Roman"/>
                <w:sz w:val="28"/>
                <w:szCs w:val="28"/>
              </w:rPr>
              <w:t>- Đối với chữ ký điện tử định danh quốc gia trên VNeID: kế thừa tiêu chuẩn kỹ thuật, hạ tầng dịch vụ tin cậy hiện có, không chồng lấn chữ ký số công cộng/chuyên dùng công vụ, có lộ trình chuyển đổi.</w:t>
            </w:r>
          </w:p>
          <w:p w14:paraId="631C29EB" w14:textId="7AD65754" w:rsidR="00472D1C" w:rsidRPr="000313DF" w:rsidRDefault="00472D1C" w:rsidP="00307CD5">
            <w:pPr>
              <w:spacing w:before="60" w:after="60"/>
              <w:jc w:val="both"/>
              <w:rPr>
                <w:rFonts w:ascii="Times New Roman" w:eastAsia="Times New Roman" w:hAnsi="Times New Roman" w:cs="Times New Roman"/>
                <w:sz w:val="28"/>
                <w:szCs w:val="28"/>
              </w:rPr>
            </w:pPr>
            <w:r w:rsidRPr="000313DF">
              <w:rPr>
                <w:rFonts w:ascii="Times New Roman" w:eastAsia="Times New Roman" w:hAnsi="Times New Roman" w:cs="Times New Roman"/>
                <w:sz w:val="28"/>
                <w:szCs w:val="28"/>
              </w:rPr>
              <w:lastRenderedPageBreak/>
              <w:t>- Quy định cơ chế, chính sách bảo vệ nhóm yếu thế trên môi trường điện tử trong hoạt động định danh và xác thực điện tử; bảo đảm khả năng tiếp cận, sử dụng dịch vụ định danh và xác thực điện tử an toàn, thuận tiện, bình đẳng đối với người cao tuổi, người khuyết tật, trẻ em và các nhóm đối tượng đặc thù khác.</w:t>
            </w:r>
          </w:p>
          <w:p w14:paraId="48DA170C" w14:textId="1BCF776A" w:rsidR="00472D1C" w:rsidRPr="000313DF" w:rsidRDefault="00472D1C" w:rsidP="00307CD5">
            <w:pPr>
              <w:spacing w:before="60" w:after="60"/>
              <w:jc w:val="both"/>
              <w:rPr>
                <w:rFonts w:ascii="Times New Roman" w:eastAsia="Times New Roman" w:hAnsi="Times New Roman" w:cs="Times New Roman"/>
                <w:sz w:val="28"/>
                <w:szCs w:val="28"/>
              </w:rPr>
            </w:pPr>
            <w:r w:rsidRPr="000313DF">
              <w:rPr>
                <w:rFonts w:ascii="Times New Roman" w:eastAsia="Times New Roman" w:hAnsi="Times New Roman" w:cs="Times New Roman"/>
                <w:sz w:val="28"/>
                <w:szCs w:val="28"/>
              </w:rPr>
              <w:t>- Quy định về trách nhiệm của các chủ thể tham gia Hệ thống định danh và xác thực điện tử quốc gia và chế tài xử lý vi phạm.</w:t>
            </w:r>
          </w:p>
        </w:tc>
      </w:tr>
      <w:tr w:rsidR="00D910D5" w:rsidRPr="000313DF" w14:paraId="2ADE7657" w14:textId="77777777" w:rsidTr="00A6524A">
        <w:tc>
          <w:tcPr>
            <w:tcW w:w="2693" w:type="dxa"/>
          </w:tcPr>
          <w:p w14:paraId="7B673184" w14:textId="77777777" w:rsidR="00D910D5" w:rsidRPr="00A6524A" w:rsidRDefault="00000000" w:rsidP="00307CD5">
            <w:pPr>
              <w:widowControl/>
              <w:spacing w:before="60" w:after="60"/>
              <w:jc w:val="both"/>
              <w:rPr>
                <w:rFonts w:ascii="Times New Roman" w:eastAsia="Times New Roman" w:hAnsi="Times New Roman" w:cs="Times New Roman"/>
                <w:b/>
                <w:bCs/>
                <w:sz w:val="28"/>
                <w:szCs w:val="28"/>
              </w:rPr>
            </w:pPr>
            <w:bookmarkStart w:id="2" w:name="_lgpko07bbp5g" w:colFirst="0" w:colLast="0"/>
            <w:bookmarkEnd w:id="2"/>
            <w:r w:rsidRPr="00A6524A">
              <w:rPr>
                <w:rFonts w:ascii="Times New Roman" w:eastAsia="Times New Roman" w:hAnsi="Times New Roman" w:cs="Times New Roman"/>
                <w:b/>
                <w:bCs/>
                <w:sz w:val="28"/>
                <w:szCs w:val="28"/>
              </w:rPr>
              <w:lastRenderedPageBreak/>
              <w:t xml:space="preserve">Chính sách 3: </w:t>
            </w:r>
            <w:r w:rsidRPr="00A6524A">
              <w:rPr>
                <w:rFonts w:ascii="Times New Roman" w:eastAsia="Times New Roman" w:hAnsi="Times New Roman" w:cs="Times New Roman"/>
                <w:sz w:val="28"/>
                <w:szCs w:val="28"/>
              </w:rPr>
              <w:t>Phát triển dịch vụ định danh, xác thực điện tử theo mô hình Nhà nước thiết lập nền tảng, điều phối liên thông; tổ chức, doanh nghiệp tham gia cung cấp dịch vụ; và công nhận hợp tác quốc tế</w:t>
            </w:r>
          </w:p>
        </w:tc>
        <w:tc>
          <w:tcPr>
            <w:tcW w:w="5103" w:type="dxa"/>
          </w:tcPr>
          <w:p w14:paraId="40E38592" w14:textId="74366B32" w:rsidR="00D910D5" w:rsidRPr="000313DF" w:rsidRDefault="00307CD5" w:rsidP="00307CD5">
            <w:pPr>
              <w:widowControl/>
              <w:spacing w:before="60" w:after="60"/>
              <w:jc w:val="both"/>
            </w:pPr>
            <w:r w:rsidRPr="00A6524A">
              <w:rPr>
                <w:rFonts w:ascii="Times New Roman" w:eastAsia="Times New Roman" w:hAnsi="Times New Roman" w:cs="Times New Roman"/>
                <w:sz w:val="28"/>
                <w:szCs w:val="28"/>
              </w:rPr>
              <w:t>Giải pháp</w:t>
            </w:r>
            <w:r w:rsidR="00000000" w:rsidRPr="00A6524A">
              <w:rPr>
                <w:rFonts w:ascii="Times New Roman" w:eastAsia="Times New Roman" w:hAnsi="Times New Roman" w:cs="Times New Roman"/>
                <w:sz w:val="28"/>
                <w:szCs w:val="28"/>
              </w:rPr>
              <w:t xml:space="preserve"> 3: Nhà nước đóng vai trò thiết lập nền tảng chung, dẫn dắt, điều phối, liên thông, khai thác, ứng dụng dữ liệu về định danh điện tử giữa các tổ chức, doanh nghiệp cung cấp dịch vụ; Các tổ chức, doanh nghiệp thực hiện một phần hoặc toàn bộ hoạt động định danh điện tử; xây dựng cơ chế liên thông, hợp tác quốc tế trong lĩnh vực định danh và xác thực điện tử</w:t>
            </w:r>
          </w:p>
          <w:p w14:paraId="73880C2D"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xml:space="preserve">(1) Bổ sung quy định về dịch vụ định danh điện tử, theo hướng Nhà nước thống nhất quản lý và tổ chức cung cấp dịch vụ định danh và xác thực điện tử trên toàn quốc. </w:t>
            </w:r>
          </w:p>
          <w:p w14:paraId="454807E5"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xml:space="preserve">(2) Trong đó nhà nước thực hiện việc định danh và xác thực điện tử đối với: Đối tượng </w:t>
            </w:r>
            <w:r w:rsidRPr="00A6524A">
              <w:rPr>
                <w:rFonts w:ascii="Times New Roman" w:eastAsia="Times New Roman" w:hAnsi="Times New Roman" w:cs="Times New Roman"/>
                <w:sz w:val="28"/>
                <w:szCs w:val="28"/>
              </w:rPr>
              <w:lastRenderedPageBreak/>
              <w:t>là cơ quan, tổ chức, cá nhân; Đối tượng là địa điểm, không gian; Đối tượng thuộc danh mục dữ liệu cốt lõi, dữ liệu quan trọng theo quy định pháp luật về dữ liệu; Đối tượng thuộc phạm vi bí mật Nhà nước theo quy định pháp luật về bí mật Nhà nước; Đối tượng theo quy định pháp luật chuyên ngành yêu cầu phải thực hiện hoạt động định danh điện tử theo mô hình tập trung.</w:t>
            </w:r>
          </w:p>
          <w:p w14:paraId="7763A53E"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Tổ chức, doanh nghiệp đủ điều kiện cung cấp dịch vụ định danh và xác thực điện tử theo quy định của pháp luật được cung cấp dịch vụ đối với các đối tượng không thuộc phạm vi nhà nước thực hiện định danh.</w:t>
            </w:r>
          </w:p>
          <w:p w14:paraId="44C73F8C"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(3) Mô hình xác thực điện tử bao gồm: Mô hình xác thực tập trung, mô hình xác thực trung gian và mô hình xác thực tự chủ</w:t>
            </w:r>
          </w:p>
          <w:p w14:paraId="2ADDB9CC"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(4) Quy định về cơ chế liên thông, hợp tác quốc tế và công nhận lẫn nhau trong lĩnh vực định danh và xác thực điện tử</w:t>
            </w:r>
            <w:r w:rsidRPr="00A6524A">
              <w:rPr>
                <w:rFonts w:ascii="Times New Roman" w:eastAsia="Times New Roman" w:hAnsi="Times New Roman" w:cs="Times New Roman"/>
                <w:sz w:val="28"/>
                <w:szCs w:val="28"/>
              </w:rPr>
              <w:tab/>
            </w:r>
          </w:p>
        </w:tc>
        <w:tc>
          <w:tcPr>
            <w:tcW w:w="6521" w:type="dxa"/>
          </w:tcPr>
          <w:p w14:paraId="172D9C15"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lastRenderedPageBreak/>
              <w:t>(1) Mô hình thực hiện hoạt động định danh điện tử được sắp xếp theo mức độ tham gia của Nhà nước giảm dần, bao gồm: (i) Mô hình Nhà nước; (ii) Mô hình Công – tư; (iii) Mô hình Xã hội hóa. Cụ thể:</w:t>
            </w:r>
          </w:p>
          <w:p w14:paraId="4BC9845B"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 Mô hình Nhà nước áp dụng bắt buộc đối với các đối tượng: (i) Pháp luật chuyên ngành quy định; (ii) Đối tượng mà thông tin định danh thuộc phân loại dữ liệu cốt lõi hoặc dữ liệu quan trọng theo quy định của Luật Dữ liệu, hoặc thuộc danh mục đối tượng bắt buộc định danh nhà nước do Chính phủ ban hành; (iii) Đối tượng thuộc phạm vi bí mật Nhà nước theo quy định pháp luật về bí mật Nhà nước; (iv) Đối tượng thuộc phạm vi an ninh, quốc phòng.</w:t>
            </w:r>
          </w:p>
          <w:p w14:paraId="0CE76FC7"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lastRenderedPageBreak/>
              <w:t>- Chủ thể thực hiện mô hình Nhà nước là Bộ, cơ quan ngang Bộ, cơ quan thuộc Chính phủ trong phạm vi chức năng, nhiệm vụ, quyền hạn của mình.</w:t>
            </w:r>
          </w:p>
          <w:p w14:paraId="25B7DB2B"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Các tổ chức, doanh nghiệp thực hiện hoạt động định danh điện tử thực hiện mô hình Công – tư và Xã hội hoá đối với các đối tượng không thuộc quy định nêu trên.</w:t>
            </w:r>
          </w:p>
          <w:p w14:paraId="195FCB1A" w14:textId="77777777" w:rsidR="00D910D5" w:rsidRPr="000313DF" w:rsidRDefault="00000000" w:rsidP="00307CD5">
            <w:pPr>
              <w:widowControl/>
              <w:spacing w:before="60" w:after="60"/>
              <w:jc w:val="both"/>
            </w:pPr>
            <w:r w:rsidRPr="00A6524A">
              <w:rPr>
                <w:rFonts w:ascii="Times New Roman" w:eastAsia="Times New Roman" w:hAnsi="Times New Roman" w:cs="Times New Roman"/>
                <w:sz w:val="28"/>
                <w:szCs w:val="28"/>
              </w:rPr>
              <w:t>(2) Sản phẩm, dịch vụ định danh và xác thực điện tử bao gồm: (i) Dịch vụ định danh điện tử; (ii) Dịch vụ xác thực điện tử; (iii) Các sản phẩm, dịch vụ khác liên quan theo quy định của Chính phủ; đồng thời quy định điều kiện cung cấp, yêu cầu bảo đảm chất lượng, an toàn, bảo mật và tính liên tục, tuân thủ tiêu chuẩn, quy chuẩn kỹ thuật; khuyến khích tổ chức, cá nhân tham gia cung cấp sản phẩm, dịch vụ định danh, xác thực điện tử và giao Chính phủ quy định chi tiết danh mục, chính sách ưu đãi.</w:t>
            </w:r>
          </w:p>
          <w:p w14:paraId="0AFF6D0E" w14:textId="3AFFC7A8"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 xml:space="preserve">(3) Dịch vụ định danh và xác thực điện tử được quy định theo hướng: (i) Xác định rõ khái niệm, phạm vi dịch vụ định danh điện tử và xác thực điện tử; (ii) Quy định điều kiện cung cấp dịch vụ theo cơ chế đáp ứng điều kiện và thông báo, bao gồm yêu cầu về nhân sự, công nghệ và tuân thủ pháp luật có liên quan; (iii) Phân loại chủ thể cung cấp và khuyến khích tổ chức, doanh nghiệp tham gia cung cấp dịch vụ; (iv) Quy định cơ chế quản lý đối với dịch vụ định danh và xác thực điện tử xuyên biên giới, bao gồm yêu cầu tuân thủ pháp luật Việt Nam, hiện </w:t>
            </w:r>
            <w:r w:rsidRPr="00A6524A">
              <w:rPr>
                <w:rFonts w:ascii="Times New Roman" w:eastAsia="Times New Roman" w:hAnsi="Times New Roman" w:cs="Times New Roman"/>
                <w:sz w:val="28"/>
                <w:szCs w:val="28"/>
              </w:rPr>
              <w:lastRenderedPageBreak/>
              <w:t>diện thương mại và lưu trữ dữ liệu; (v) Thiết lập cơ chế thử nghiệm có kiểm soát (sandbox) đối với mô hình, công nghệ mới trong lĩnh vực định danh và xác thực điện tử; (vi) Quy định quyền, nghĩa vụ và trách nhiệm của tổ chức cung cấp dịch vụ, bao gồm bảo đảm an toàn, bảo mật, minh bạch, trách nhiệm báo cáo và bồi thường thiệt hại; đồng thời giao Chính phủ quy định chi tiết điều kiện, trình tự, thủ tục thông báo và cơ chế quản lý, giám sát.</w:t>
            </w:r>
          </w:p>
          <w:p w14:paraId="040765F1" w14:textId="77777777" w:rsidR="00D910D5" w:rsidRPr="00A6524A" w:rsidRDefault="00000000" w:rsidP="00307CD5">
            <w:pPr>
              <w:widowControl/>
              <w:spacing w:before="60" w:after="60"/>
              <w:jc w:val="both"/>
              <w:rPr>
                <w:rFonts w:ascii="Times New Roman" w:eastAsia="Times New Roman" w:hAnsi="Times New Roman" w:cs="Times New Roman"/>
                <w:sz w:val="28"/>
                <w:szCs w:val="28"/>
              </w:rPr>
            </w:pPr>
            <w:r w:rsidRPr="00A6524A">
              <w:rPr>
                <w:rFonts w:ascii="Times New Roman" w:eastAsia="Times New Roman" w:hAnsi="Times New Roman" w:cs="Times New Roman"/>
                <w:sz w:val="28"/>
                <w:szCs w:val="28"/>
              </w:rPr>
              <w:t>Quy định về liên thông, hợp tác quốc tế trong lĩnh vực định danh và xác thực điện tử; quy định về công nhận lẫn nhau trong lĩnh vực định danh và xác thực điện tử.</w:t>
            </w:r>
          </w:p>
        </w:tc>
      </w:tr>
    </w:tbl>
    <w:p w14:paraId="336EAC64" w14:textId="77777777" w:rsidR="00D910D5" w:rsidRPr="00A6524A" w:rsidRDefault="00D910D5">
      <w:pPr>
        <w:jc w:val="both"/>
      </w:pPr>
    </w:p>
    <w:sectPr w:rsidR="00D910D5" w:rsidRPr="00A6524A" w:rsidSect="00A6524A">
      <w:headerReference w:type="default" r:id="rId6"/>
      <w:headerReference w:type="first" r:id="rId7"/>
      <w:pgSz w:w="16838" w:h="11906" w:orient="landscape"/>
      <w:pgMar w:top="1134" w:right="1134" w:bottom="1134" w:left="1134" w:header="72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766C6F3" w14:textId="77777777" w:rsidR="00AF36BB" w:rsidRDefault="00AF36BB">
      <w:r>
        <w:separator/>
      </w:r>
    </w:p>
  </w:endnote>
  <w:endnote w:type="continuationSeparator" w:id="0">
    <w:p w14:paraId="32F1DCF9" w14:textId="77777777" w:rsidR="00AF36BB" w:rsidRDefault="00AF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4D479B1C-4338-EE43-ABA3-1840046966ED}"/>
    <w:embedBold r:id="rId2" w:fontKey="{62CE5024-4C8C-3F40-9438-D06C1D09F17A}"/>
  </w:font>
  <w:font w:name="Times New Roman">
    <w:panose1 w:val="02020603050405020304"/>
    <w:charset w:val="00"/>
    <w:family w:val="roman"/>
    <w:pitch w:val="variable"/>
    <w:sig w:usb0="E0002EFF" w:usb1="C000785B" w:usb2="00000009" w:usb3="00000000" w:csb0="000001FF" w:csb1="00000000"/>
    <w:embedRegular r:id="rId3" w:fontKey="{AE6A4AC0-4AA4-5144-A76C-19B6D3E532FD}"/>
    <w:embedBold r:id="rId4" w:fontKey="{FCA0EC54-DE82-7343-B687-8719CAF33D58}"/>
    <w:embedItalic r:id="rId5" w:fontKey="{0389C314-FB81-C54D-A128-CC882C5452E0}"/>
    <w:embedBoldItalic r:id="rId6" w:fontKey="{FB8B2381-F757-D648-811E-BC0E60E16120}"/>
  </w:font>
  <w:font w:name="Georgia">
    <w:panose1 w:val="02040502050405020303"/>
    <w:charset w:val="00"/>
    <w:family w:val="roman"/>
    <w:pitch w:val="variable"/>
    <w:sig w:usb0="00000287" w:usb1="00000000" w:usb2="00000000" w:usb3="00000000" w:csb0="0000009F" w:csb1="00000000"/>
    <w:embedItalic r:id="rId7" w:fontKey="{791E78A2-8605-6B48-B8C7-E2201C60F72B}"/>
  </w:font>
  <w:font w:name="Calibri">
    <w:panose1 w:val="020F0502020204030204"/>
    <w:charset w:val="00"/>
    <w:family w:val="swiss"/>
    <w:pitch w:val="variable"/>
    <w:sig w:usb0="E4002EFF" w:usb1="C200247B" w:usb2="00000009" w:usb3="00000000" w:csb0="000001FF" w:csb1="00000000"/>
    <w:embedRegular r:id="rId8" w:fontKey="{3D5B4588-818A-974E-BFA3-D65FFE9A2C16}"/>
  </w:font>
  <w:font w:name="Cambria">
    <w:panose1 w:val="02040503050406030204"/>
    <w:charset w:val="00"/>
    <w:family w:val="roman"/>
    <w:pitch w:val="variable"/>
    <w:sig w:usb0="E00006FF" w:usb1="420024FF" w:usb2="02000000" w:usb3="00000000" w:csb0="0000019F" w:csb1="00000000"/>
    <w:embedRegular r:id="rId9" w:fontKey="{82C8DC18-B38A-F649-9B1C-7B1B8B9D8F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6AC3DE7" w14:textId="77777777" w:rsidR="00AF36BB" w:rsidRDefault="00AF36BB">
      <w:r>
        <w:separator/>
      </w:r>
    </w:p>
  </w:footnote>
  <w:footnote w:type="continuationSeparator" w:id="0">
    <w:p w14:paraId="536AA0B6" w14:textId="77777777" w:rsidR="00AF36BB" w:rsidRDefault="00AF3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E29308B" w14:textId="77777777" w:rsidR="00D910D5" w:rsidRDefault="0000000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672BD9">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5D3806E2" w14:textId="77777777" w:rsidR="00D910D5" w:rsidRDefault="00D910D5">
    <w:pPr>
      <w:pBdr>
        <w:top w:val="nil"/>
        <w:left w:val="nil"/>
        <w:bottom w:val="nil"/>
        <w:right w:val="nil"/>
        <w:between w:val="nil"/>
      </w:pBdr>
      <w:rPr>
        <w:rFonts w:ascii="Times New Roman" w:eastAsia="Times New Roman" w:hAnsi="Times New Roman" w:cs="Times New Roman"/>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5C649E" w14:textId="77777777" w:rsidR="00D910D5" w:rsidRDefault="00D910D5">
    <w:pPr>
      <w:pBdr>
        <w:top w:val="nil"/>
        <w:left w:val="nil"/>
        <w:bottom w:val="nil"/>
        <w:right w:val="nil"/>
        <w:between w:val="nil"/>
      </w:pBdr>
      <w:rPr>
        <w:color w:val="000000"/>
      </w:rP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D5"/>
    <w:rsid w:val="00013F42"/>
    <w:rsid w:val="000313DF"/>
    <w:rsid w:val="00244D61"/>
    <w:rsid w:val="00307CD5"/>
    <w:rsid w:val="0045573D"/>
    <w:rsid w:val="00472D1C"/>
    <w:rsid w:val="00534880"/>
    <w:rsid w:val="00555C88"/>
    <w:rsid w:val="005E45F5"/>
    <w:rsid w:val="00625698"/>
    <w:rsid w:val="00672BD9"/>
    <w:rsid w:val="006854A2"/>
    <w:rsid w:val="00A6524A"/>
    <w:rsid w:val="00AF36BB"/>
    <w:rsid w:val="00B47F0C"/>
    <w:rsid w:val="00C541DE"/>
    <w:rsid w:val="00D910D5"/>
    <w:rsid w:val="00E775AA"/>
    <w:rsid w:val="00FF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5CC"/>
  <w15:docId w15:val="{36D88857-258B-4AFE-B2F8-1DC7AC2C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ourier New" w:eastAsia="Courier New" w:hAnsi="Courier New" w:cs="Courier New"/>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57" w:type="dxa"/>
        <w:left w:w="115" w:type="dxa"/>
        <w:bottom w:w="57"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Style10">
    <w:name w:val="_Style 10"/>
    <w:basedOn w:val="TableNormal0"/>
    <w:qFormat/>
    <w:rsid w:val="00307CD5"/>
    <w:pPr>
      <w:widowControl/>
    </w:pPr>
    <w:rPr>
      <w:rFonts w:ascii="Calibri" w:eastAsia="Calibri" w:hAnsi="Calibri" w:cs="Calibri"/>
      <w:sz w:val="20"/>
      <w:szCs w:val="20"/>
    </w:rPr>
    <w:tblPr>
      <w:tblCellMar>
        <w:top w:w="0" w:type="dxa"/>
        <w:left w:w="115" w:type="dxa"/>
        <w:bottom w:w="0" w:type="dxa"/>
        <w:right w:w="115" w:type="dxa"/>
      </w:tblCellMar>
    </w:tblPr>
  </w:style>
  <w:style w:type="table" w:styleId="TableGrid">
    <w:name w:val="Table Grid"/>
    <w:basedOn w:val="TableNormal"/>
    <w:uiPriority w:val="39"/>
    <w:rsid w:val="00307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7B98"/>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(RAR)</cp:lastModifiedBy>
  <cp:revision>10</cp:revision>
  <dcterms:created xsi:type="dcterms:W3CDTF">2026-06-12T10:24:00Z</dcterms:created>
  <dcterms:modified xsi:type="dcterms:W3CDTF">2026-07-02T12:04:00Z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379D336C30CAE76796B4EF68E33A3128_42</vt:lpwstr>
  </property>
  <property fmtid="{D5CDD505-2E9C-101B-9397-08002B2CF9AE}" pid="3" name="KSOProductBuildVer">
    <vt:lpwstr>1033-12.1.22226.22226</vt:lpwstr>
  </property>
</Properties>
</file>