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5670"/>
      </w:tblGrid>
      <w:tr w:rsidR="00BC0181" w14:paraId="62D67C53" w14:textId="77777777" w:rsidTr="0077490A">
        <w:tc>
          <w:tcPr>
            <w:tcW w:w="4390" w:type="dxa"/>
          </w:tcPr>
          <w:p w14:paraId="1B7297B9" w14:textId="77777777" w:rsidR="00BC0181" w:rsidRDefault="00BC0181" w:rsidP="0077490A">
            <w:pPr>
              <w:snapToGrid w:val="0"/>
              <w:spacing w:after="0"/>
              <w:jc w:val="center"/>
            </w:pPr>
            <w:r>
              <w:rPr>
                <w:b/>
              </w:rPr>
              <w:t>BỘ CÔNG AN</w:t>
            </w:r>
          </w:p>
          <w:p w14:paraId="163363EF" w14:textId="77777777" w:rsidR="00BC0181" w:rsidRDefault="00BC0181" w:rsidP="0077490A">
            <w:pPr>
              <w:snapToGrid w:val="0"/>
              <w:spacing w:after="0"/>
              <w:jc w:val="center"/>
            </w:pPr>
            <w:r>
              <w:rPr>
                <w:noProof/>
                <w14:ligatures w14:val="standardContextual"/>
              </w:rPr>
              <mc:AlternateContent>
                <mc:Choice Requires="wps">
                  <w:drawing>
                    <wp:anchor distT="0" distB="0" distL="114300" distR="114300" simplePos="0" relativeHeight="251659264" behindDoc="0" locked="0" layoutInCell="1" allowOverlap="1" wp14:anchorId="5E23E4A2" wp14:editId="220715F6">
                      <wp:simplePos x="0" y="0"/>
                      <wp:positionH relativeFrom="column">
                        <wp:posOffset>842010</wp:posOffset>
                      </wp:positionH>
                      <wp:positionV relativeFrom="paragraph">
                        <wp:posOffset>15240</wp:posOffset>
                      </wp:positionV>
                      <wp:extent cx="1005840" cy="0"/>
                      <wp:effectExtent l="0" t="0" r="0" b="0"/>
                      <wp:wrapNone/>
                      <wp:docPr id="903021181" name="Straight Connector 1"/>
                      <wp:cNvGraphicFramePr/>
                      <a:graphic xmlns:a="http://schemas.openxmlformats.org/drawingml/2006/main">
                        <a:graphicData uri="http://schemas.microsoft.com/office/word/2010/wordprocessingShape">
                          <wps:wsp>
                            <wps:cNvCnPr/>
                            <wps:spPr>
                              <a:xfrm>
                                <a:off x="0" y="0"/>
                                <a:ext cx="10058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6F752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3pt,1.2pt" to="145.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" strokecolor="black [3200]" strokeweight=".5pt">
                      <v:stroke joinstyle="miter"/>
                    </v:line>
                  </w:pict>
                </mc:Fallback>
              </mc:AlternateContent>
            </w:r>
          </w:p>
          <w:p w14:paraId="4C8D857D" w14:textId="77777777" w:rsidR="00BC0181" w:rsidRPr="00466365" w:rsidRDefault="00BC0181" w:rsidP="0077490A">
            <w:pPr>
              <w:snapToGrid w:val="0"/>
              <w:spacing w:after="0"/>
              <w:jc w:val="center"/>
              <w:rPr>
                <w:bCs/>
              </w:rPr>
            </w:pPr>
            <w:r w:rsidRPr="00466365">
              <w:rPr>
                <w:bCs/>
              </w:rPr>
              <w:t>Số:            / BCA</w:t>
            </w:r>
          </w:p>
        </w:tc>
        <w:tc>
          <w:tcPr>
            <w:tcW w:w="5670" w:type="dxa"/>
          </w:tcPr>
          <w:p w14:paraId="6C46F90E" w14:textId="77777777" w:rsidR="00BC0181" w:rsidRDefault="00BC0181" w:rsidP="0077490A">
            <w:pPr>
              <w:snapToGrid w:val="0"/>
              <w:spacing w:after="0"/>
              <w:jc w:val="center"/>
            </w:pPr>
            <w:r>
              <w:rPr>
                <w:b/>
              </w:rPr>
              <w:t>CỘNG HÒA XÃ HỘI CHỦ NGHĨA VIỆT NAM</w:t>
            </w:r>
          </w:p>
          <w:p w14:paraId="79CD7675" w14:textId="77777777" w:rsidR="00BC0181" w:rsidRDefault="00BC0181" w:rsidP="0077490A">
            <w:pPr>
              <w:snapToGrid w:val="0"/>
              <w:spacing w:after="0"/>
              <w:jc w:val="center"/>
            </w:pPr>
            <w:r>
              <w:rPr>
                <w:b/>
                <w:noProof/>
                <w14:ligatures w14:val="standardContextual"/>
              </w:rPr>
              <mc:AlternateContent>
                <mc:Choice Requires="wps">
                  <w:drawing>
                    <wp:anchor distT="0" distB="0" distL="114300" distR="114300" simplePos="0" relativeHeight="251660288" behindDoc="0" locked="0" layoutInCell="1" allowOverlap="1" wp14:anchorId="04E2428E" wp14:editId="7720004C">
                      <wp:simplePos x="0" y="0"/>
                      <wp:positionH relativeFrom="column">
                        <wp:posOffset>873760</wp:posOffset>
                      </wp:positionH>
                      <wp:positionV relativeFrom="paragraph">
                        <wp:posOffset>198120</wp:posOffset>
                      </wp:positionV>
                      <wp:extent cx="1874520" cy="7620"/>
                      <wp:effectExtent l="0" t="0" r="30480" b="30480"/>
                      <wp:wrapNone/>
                      <wp:docPr id="1242400873" name="Straight Connector 2"/>
                      <wp:cNvGraphicFramePr/>
                      <a:graphic xmlns:a="http://schemas.openxmlformats.org/drawingml/2006/main">
                        <a:graphicData uri="http://schemas.microsoft.com/office/word/2010/wordprocessingShape">
                          <wps:wsp>
                            <wps:cNvCnPr/>
                            <wps:spPr>
                              <a:xfrm>
                                <a:off x="0" y="0"/>
                                <a:ext cx="187452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A16DCA"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8pt,15.6pt" to="216.4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" strokecolor="black [3200]" strokeweight=".5pt">
                      <v:stroke joinstyle="miter"/>
                    </v:line>
                  </w:pict>
                </mc:Fallback>
              </mc:AlternateContent>
            </w:r>
            <w:r>
              <w:rPr>
                <w:b/>
              </w:rPr>
              <w:t>Độc lập - Tự do - Hạnh phúc</w:t>
            </w:r>
          </w:p>
          <w:p w14:paraId="5A4667C1" w14:textId="77777777" w:rsidR="00BC0181" w:rsidRDefault="00BC0181" w:rsidP="0077490A">
            <w:pPr>
              <w:snapToGrid w:val="0"/>
              <w:spacing w:after="0"/>
              <w:jc w:val="center"/>
            </w:pPr>
          </w:p>
          <w:p w14:paraId="5A073DB0" w14:textId="77777777" w:rsidR="00BC0181" w:rsidRPr="00466365" w:rsidRDefault="00BC0181" w:rsidP="0077490A">
            <w:pPr>
              <w:snapToGrid w:val="0"/>
              <w:spacing w:after="0"/>
              <w:jc w:val="center"/>
              <w:rPr>
                <w:bCs/>
                <w:i/>
                <w:iCs/>
              </w:rPr>
            </w:pPr>
            <w:r w:rsidRPr="00466365">
              <w:rPr>
                <w:bCs/>
                <w:i/>
                <w:iCs/>
              </w:rPr>
              <w:t>Hà Nội, ngày     tháng     năm 2026</w:t>
            </w:r>
          </w:p>
        </w:tc>
      </w:tr>
    </w:tbl>
    <w:p w14:paraId="596C71DD" w14:textId="77777777" w:rsidR="00BC0181" w:rsidRPr="00466365" w:rsidRDefault="00BC0181" w:rsidP="00BC0181">
      <w:pPr>
        <w:jc w:val="both"/>
        <w:rPr>
          <w:sz w:val="12"/>
          <w:szCs w:val="8"/>
        </w:rPr>
      </w:pPr>
    </w:p>
    <w:p w14:paraId="305912D6" w14:textId="77777777" w:rsidR="00BC0181" w:rsidRPr="00466365" w:rsidRDefault="00BC0181" w:rsidP="00BC0181">
      <w:pPr>
        <w:spacing w:after="0"/>
        <w:jc w:val="center"/>
        <w:rPr>
          <w:szCs w:val="26"/>
        </w:rPr>
      </w:pPr>
      <w:r w:rsidRPr="00466365">
        <w:rPr>
          <w:b/>
          <w:szCs w:val="26"/>
        </w:rPr>
        <w:t>BẢN ĐÁNH GIÁ THỦ TỤC HÀNH CHÍNH,</w:t>
      </w:r>
    </w:p>
    <w:p w14:paraId="643476A1" w14:textId="77777777" w:rsidR="00BC0181" w:rsidRPr="00466365" w:rsidRDefault="00BC0181" w:rsidP="00BC0181">
      <w:pPr>
        <w:spacing w:after="0"/>
        <w:jc w:val="center"/>
        <w:rPr>
          <w:szCs w:val="26"/>
        </w:rPr>
      </w:pPr>
      <w:r w:rsidRPr="00466365">
        <w:rPr>
          <w:b/>
          <w:szCs w:val="26"/>
        </w:rPr>
        <w:t>VIỆC PHÂN QUYỀN, PHÂN CẤP, BẢO ĐẢM BÌNH ĐẲNG GIỚI,</w:t>
      </w:r>
    </w:p>
    <w:p w14:paraId="4BB7E4FD" w14:textId="77777777" w:rsidR="00BC0181" w:rsidRPr="00466365" w:rsidRDefault="00BC0181" w:rsidP="00BC0181">
      <w:pPr>
        <w:spacing w:after="0"/>
        <w:jc w:val="center"/>
        <w:rPr>
          <w:szCs w:val="26"/>
        </w:rPr>
      </w:pPr>
      <w:r w:rsidRPr="00466365">
        <w:rPr>
          <w:b/>
          <w:szCs w:val="26"/>
        </w:rPr>
        <w:t xml:space="preserve">VIỆC THỰC HIỆN CHÍNH SÁCH DÂN TỘC TRONG DỰ </w:t>
      </w:r>
      <w:r>
        <w:rPr>
          <w:b/>
          <w:szCs w:val="26"/>
        </w:rPr>
        <w:t>THẢO</w:t>
      </w:r>
    </w:p>
    <w:p w14:paraId="68D8AA54" w14:textId="77777777" w:rsidR="00BC0181" w:rsidRPr="00466365" w:rsidRDefault="00BC0181" w:rsidP="00BC0181">
      <w:pPr>
        <w:spacing w:after="0"/>
        <w:jc w:val="center"/>
        <w:rPr>
          <w:b/>
          <w:szCs w:val="26"/>
        </w:rPr>
      </w:pPr>
      <w:r w:rsidRPr="00466365">
        <w:rPr>
          <w:b/>
          <w:szCs w:val="26"/>
        </w:rPr>
        <w:t>LUẬT AN NINH DỮ LIỆU</w:t>
      </w:r>
    </w:p>
    <w:p w14:paraId="5B0B5259" w14:textId="77777777" w:rsidR="00BC0181" w:rsidRPr="00466365" w:rsidRDefault="00BC0181" w:rsidP="00BC0181">
      <w:pPr>
        <w:spacing w:after="0"/>
        <w:jc w:val="center"/>
        <w:rPr>
          <w:sz w:val="24"/>
          <w:szCs w:val="24"/>
        </w:rPr>
      </w:pPr>
    </w:p>
    <w:p w14:paraId="5C630782" w14:textId="77777777" w:rsidR="00BC0181" w:rsidRPr="00466365" w:rsidRDefault="00BC0181" w:rsidP="00BC0181">
      <w:pPr>
        <w:spacing w:after="100"/>
        <w:ind w:firstLine="709"/>
        <w:jc w:val="both"/>
        <w:rPr>
          <w:sz w:val="28"/>
          <w:szCs w:val="28"/>
        </w:rPr>
      </w:pPr>
      <w:r w:rsidRPr="00466365">
        <w:rPr>
          <w:sz w:val="28"/>
          <w:szCs w:val="28"/>
        </w:rPr>
        <w:t xml:space="preserve">Thực hiện quy định của Luật Ban hành văn bản quy phạm pháp luật năm 2025, Bộ Công an tiến hành đánh giá thủ tục hành chính, việc phân quyền, phân cấp, bảo đảm bình đẳng giới, việc thực hiện chính sách dân tộc trong dự </w:t>
      </w:r>
      <w:r>
        <w:rPr>
          <w:sz w:val="28"/>
          <w:szCs w:val="28"/>
        </w:rPr>
        <w:t xml:space="preserve">thảo </w:t>
      </w:r>
      <w:r w:rsidRPr="00466365">
        <w:rPr>
          <w:sz w:val="28"/>
          <w:szCs w:val="28"/>
        </w:rPr>
        <w:t>Luật An ninh dữ liệu kết quả như sau:</w:t>
      </w:r>
    </w:p>
    <w:p w14:paraId="6437366D" w14:textId="77777777" w:rsidR="00572EBF" w:rsidRPr="00BC0181" w:rsidRDefault="00572EBF" w:rsidP="00BC0181">
      <w:pPr>
        <w:spacing w:before="120" w:after="120" w:line="23" w:lineRule="atLeast"/>
        <w:ind w:firstLine="709"/>
        <w:jc w:val="both"/>
        <w:rPr>
          <w:b/>
          <w:sz w:val="28"/>
          <w:szCs w:val="28"/>
        </w:rPr>
      </w:pPr>
      <w:r w:rsidRPr="00BC0181">
        <w:rPr>
          <w:b/>
          <w:sz w:val="28"/>
          <w:szCs w:val="28"/>
        </w:rPr>
        <w:t>I. TỔ CHỨC THỰC HIỆN ĐÁNH GIÁ</w:t>
      </w:r>
    </w:p>
    <w:p w14:paraId="352FDCF3"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1. Đánh giá thủ tục hành chính</w:t>
      </w:r>
    </w:p>
    <w:p w14:paraId="083C240F" w14:textId="7C8D6937" w:rsidR="00572EBF" w:rsidRPr="00BC0181" w:rsidRDefault="00572EBF" w:rsidP="00BC0181">
      <w:pPr>
        <w:spacing w:before="120" w:after="120" w:line="23" w:lineRule="atLeast"/>
        <w:ind w:firstLine="709"/>
        <w:jc w:val="both"/>
        <w:rPr>
          <w:bCs/>
          <w:sz w:val="28"/>
          <w:szCs w:val="28"/>
        </w:rPr>
      </w:pPr>
      <w:r w:rsidRPr="00BC0181">
        <w:rPr>
          <w:bCs/>
          <w:sz w:val="28"/>
          <w:szCs w:val="28"/>
        </w:rPr>
        <w:t>Dự thảo Luật An ninh dữ liệu được xây dựng theo mô hình "luật khung". Nội dung Dự thảo Luật làm phát sinh 0</w:t>
      </w:r>
      <w:r w:rsidR="00BC0181" w:rsidRPr="00BC0181">
        <w:rPr>
          <w:bCs/>
          <w:sz w:val="28"/>
          <w:szCs w:val="28"/>
        </w:rPr>
        <w:t>5</w:t>
      </w:r>
      <w:r w:rsidRPr="00BC0181">
        <w:rPr>
          <w:bCs/>
          <w:sz w:val="28"/>
          <w:szCs w:val="28"/>
        </w:rPr>
        <w:t xml:space="preserve"> nhóm thủ tục hành chính như sau:</w:t>
      </w:r>
    </w:p>
    <w:p w14:paraId="063FF565"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Thứ nhất: Thẩm định, cấp phép hệ thống, công nghệ và dịch vụ dữ liệu trước khi triển khai (Điều 13, Điều 14, Điều 16 Khoản 3, Điều 23, Điều 27, Điều 29)</w:t>
      </w:r>
    </w:p>
    <w:p w14:paraId="547FF91A" w14:textId="77777777" w:rsidR="00BC0181" w:rsidRDefault="00572EBF" w:rsidP="00BC0181">
      <w:pPr>
        <w:spacing w:before="120" w:after="120" w:line="23" w:lineRule="atLeast"/>
        <w:ind w:firstLine="709"/>
        <w:jc w:val="both"/>
        <w:rPr>
          <w:bCs/>
          <w:sz w:val="28"/>
          <w:szCs w:val="28"/>
        </w:rPr>
      </w:pPr>
      <w:r w:rsidRPr="00BC0181">
        <w:rPr>
          <w:bCs/>
          <w:sz w:val="28"/>
          <w:szCs w:val="28"/>
        </w:rPr>
        <w:t xml:space="preserve">Nội dung thủ tục: Gộp chung 03 nhóm thủ tục có cùng bản chất "tiền kiểm trước khi một hệ thống, công nghệ hoặc hoạt động kinh doanh dịch vụ dữ liệu mới được đưa vào vận hành": </w:t>
      </w:r>
    </w:p>
    <w:p w14:paraId="06E5058C" w14:textId="24AF5679" w:rsidR="00BC0181" w:rsidRDefault="00572EBF" w:rsidP="00BC0181">
      <w:pPr>
        <w:spacing w:before="120" w:after="120" w:line="23" w:lineRule="atLeast"/>
        <w:ind w:firstLine="709"/>
        <w:jc w:val="both"/>
        <w:rPr>
          <w:bCs/>
          <w:sz w:val="28"/>
          <w:szCs w:val="28"/>
        </w:rPr>
      </w:pPr>
      <w:r w:rsidRPr="00BC0181">
        <w:rPr>
          <w:bCs/>
          <w:sz w:val="28"/>
          <w:szCs w:val="28"/>
        </w:rPr>
        <w:t xml:space="preserve">(a) </w:t>
      </w:r>
      <w:r w:rsidR="00BC0181">
        <w:rPr>
          <w:bCs/>
          <w:sz w:val="28"/>
          <w:szCs w:val="28"/>
        </w:rPr>
        <w:t>C</w:t>
      </w:r>
      <w:r w:rsidRPr="00BC0181">
        <w:rPr>
          <w:bCs/>
          <w:sz w:val="28"/>
          <w:szCs w:val="28"/>
        </w:rPr>
        <w:t xml:space="preserve">hủ quản hệ thống thông tin khai báo danh mục dữ liệu quốc gia và đề nghị Bộ Công an thẩm định an ninh đối với hệ thống thông tin, dự án đầu tư, chuyển giao công nghệ xử lý dữ liệu Cốt lõi, Quan trọng (Điều 13, 14, 23); </w:t>
      </w:r>
    </w:p>
    <w:p w14:paraId="3243DA0A" w14:textId="73B573E1" w:rsidR="00BC0181" w:rsidRDefault="00572EBF" w:rsidP="00BC0181">
      <w:pPr>
        <w:spacing w:before="120" w:after="120" w:line="23" w:lineRule="atLeast"/>
        <w:ind w:firstLine="709"/>
        <w:jc w:val="both"/>
        <w:rPr>
          <w:bCs/>
          <w:sz w:val="28"/>
          <w:szCs w:val="28"/>
        </w:rPr>
      </w:pPr>
      <w:r w:rsidRPr="00BC0181">
        <w:rPr>
          <w:bCs/>
          <w:sz w:val="28"/>
          <w:szCs w:val="28"/>
        </w:rPr>
        <w:t xml:space="preserve">(b) </w:t>
      </w:r>
      <w:r w:rsidR="00BC0181">
        <w:rPr>
          <w:bCs/>
          <w:sz w:val="28"/>
          <w:szCs w:val="28"/>
        </w:rPr>
        <w:t>T</w:t>
      </w:r>
      <w:r w:rsidRPr="00BC0181">
        <w:rPr>
          <w:bCs/>
          <w:sz w:val="28"/>
          <w:szCs w:val="28"/>
        </w:rPr>
        <w:t xml:space="preserve">ổ chức, cá nhân kinh doanh dịch vụ xử lý, phân tích, môi giới, lưu trữ, tiêu hủy dữ liệu hoặc vận hành sàn giao dịch dữ liệu đăng ký, được cấp Giấy chứng nhận đủ điều kiện an ninh, trật tự (Điều 16 Khoản 3, Điều 29); </w:t>
      </w:r>
    </w:p>
    <w:p w14:paraId="5EB5E208" w14:textId="072A6FDF" w:rsidR="00572EBF" w:rsidRPr="00BC0181" w:rsidRDefault="00572EBF" w:rsidP="00BC0181">
      <w:pPr>
        <w:spacing w:before="120" w:after="120" w:line="23" w:lineRule="atLeast"/>
        <w:ind w:firstLine="709"/>
        <w:jc w:val="both"/>
        <w:rPr>
          <w:bCs/>
          <w:sz w:val="28"/>
          <w:szCs w:val="28"/>
        </w:rPr>
      </w:pPr>
      <w:r w:rsidRPr="00BC0181">
        <w:rPr>
          <w:bCs/>
          <w:sz w:val="28"/>
          <w:szCs w:val="28"/>
        </w:rPr>
        <w:t xml:space="preserve">(c) </w:t>
      </w:r>
      <w:r w:rsidR="00BC0181">
        <w:rPr>
          <w:bCs/>
          <w:sz w:val="28"/>
          <w:szCs w:val="28"/>
        </w:rPr>
        <w:t>T</w:t>
      </w:r>
      <w:r w:rsidRPr="00BC0181">
        <w:rPr>
          <w:bCs/>
          <w:sz w:val="28"/>
          <w:szCs w:val="28"/>
        </w:rPr>
        <w:t>ổ chức, doanh nghiệp thử nghiệm công nghệ dữ liệu mới, trí tuệ nhân tạo đăng ký tham gia cơ chế thử nghiệm có kiểm soát - Sandbox (Điều 27). Việc đánh giá tác động an ninh dữ liệu trước khi triển khai hệ thống mới là hồ sơ nội bộ phục vụ hồ sơ thẩm định, không cấu thành thủ tục riêng biệt.</w:t>
      </w:r>
    </w:p>
    <w:p w14:paraId="02AD2B8B"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 xml:space="preserve">Đánh giá khách quan về tính khả thi và chi phí tuân thủ: Cả 03 nhóm đều cần thiết vì cùng là biện pháp tiền kiểm phổ biến ở nhiều quốc gia đối với hoạt động, hệ thống có rủi ro an ninh dữ liệu. Rủi ro chung cần lưu ý: (i) nguy cơ trùng lặp với thủ tục thẩm định cấp độ an ninh hệ thống thông tin theo pháp luật an ninh mạng (nhánh a) </w:t>
      </w:r>
      <w:r w:rsidRPr="00BC0181">
        <w:rPr>
          <w:bCs/>
          <w:sz w:val="28"/>
          <w:szCs w:val="28"/>
        </w:rPr>
        <w:lastRenderedPageBreak/>
        <w:t>nếu không liên thông triệt để; (ii) nguy cơ chồng chéo thẩm quyền giữa Bộ Khoa học và Công nghệ và Bộ Công an đối với hoạt động Sandbox (nhánh c) nếu không phân công rõ; (iii) doanh nghiệp phải xin phép hai lần cho cùng một hoạt động sàn giao dịch dữ liệu nếu Điều 16 và Điều 29 không được hướng dẫn thống nhất (nhánh b); (iv) chi phí chuẩn bị hồ sơ kỹ thuật có thể tạo gánh nặng cho doanh nghiệp nhỏ và vừa. Về vấn đề (iv), Điều 13 (Khoản 3) đã miễn trừ nghĩa vụ bảo vệ vòng đời dữ liệu cho doanh nghiệp siêu nhỏ, nhỏ và vừa không xử lý dữ liệu quy mô lớn.</w:t>
      </w:r>
    </w:p>
    <w:p w14:paraId="486C36C8"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Phương án thực hiện, giảm thiểu chi phí tuân thủ:</w:t>
      </w:r>
    </w:p>
    <w:p w14:paraId="7A7E74D7"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 Nhánh (a): xây dựng cơ chế "một cửa liên thông" giữa thẩm định an ninh dữ liệu (Điều 23) và thẩm định cấp độ an ninh hệ thống thông tin theo pháp luật an ninh mạng, cấp một văn bản chấp thuận duy nhất; thời hạn tối đa 20-30 ngày làm việc tùy cấp độ dữ liệu; lộ trình chuyển tiếp 12-24 tháng cho doanh nghiệp nhỏ và vừa.</w:t>
      </w:r>
    </w:p>
    <w:p w14:paraId="6055594F"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 Nhánh (b): hợp nhất thành một thủ tục cấp Giấy chứng nhận đủ điều kiện an ninh, trật tự duy nhất cho toàn bộ hoạt động kinh doanh dịch vụ dữ liệu (bao gồm cả môi giới, sàn giao dịch), do một cơ quan đầu mối tiếp nhận, không tách theo Điều 16 và Điều 29.</w:t>
      </w:r>
    </w:p>
    <w:p w14:paraId="4550199E" w14:textId="77777777" w:rsidR="00572EBF" w:rsidRPr="0021061C" w:rsidRDefault="00572EBF" w:rsidP="00BC0181">
      <w:pPr>
        <w:spacing w:before="120" w:after="120" w:line="23" w:lineRule="atLeast"/>
        <w:ind w:firstLine="709"/>
        <w:jc w:val="both"/>
        <w:rPr>
          <w:bCs/>
          <w:spacing w:val="-4"/>
          <w:sz w:val="28"/>
          <w:szCs w:val="28"/>
        </w:rPr>
      </w:pPr>
      <w:r w:rsidRPr="00BC0181">
        <w:rPr>
          <w:bCs/>
          <w:sz w:val="28"/>
          <w:szCs w:val="28"/>
        </w:rPr>
        <w:t xml:space="preserve">- </w:t>
      </w:r>
      <w:r w:rsidRPr="0021061C">
        <w:rPr>
          <w:bCs/>
          <w:spacing w:val="-4"/>
          <w:sz w:val="28"/>
          <w:szCs w:val="28"/>
        </w:rPr>
        <w:t>Nhánh (c): quy định rõ Bộ Khoa học và Công nghệ chủ trì tiếp nhận hồ sơ, cấp phép hoạt động thử nghiệm; Bộ Công an chỉ giám sát an ninh kỹ thuật, không yêu cầu doanh nghiệp nộp hồ sơ song song cho cả hai cơ quan; áp dụng trình tự đánh giá rút gọn.</w:t>
      </w:r>
    </w:p>
    <w:p w14:paraId="2CF3AE26"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 Chung cho cả 03 nhánh: số hóa toàn trình việc tiếp nhận, thẩm định và trả kết quả qua Cổng dịch vụ công quốc gia; công khai thời hạn giải quyết theo từng nhánh ngay từ giai đoạn đầu thi hành Luật.</w:t>
      </w:r>
    </w:p>
    <w:p w14:paraId="1B6CA2ED"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Thứ hai: Chứng nhận, công nhận đạt chuẩn an ninh dữ liệu đối với sản phẩm và nhân lực (Điều 10 Khoản 2, Điều 45)</w:t>
      </w:r>
    </w:p>
    <w:p w14:paraId="31B31DA3" w14:textId="6BCA93BE" w:rsidR="00572EBF" w:rsidRPr="00BC0181" w:rsidRDefault="00572EBF" w:rsidP="00BC0181">
      <w:pPr>
        <w:spacing w:before="120" w:after="120" w:line="23" w:lineRule="atLeast"/>
        <w:ind w:firstLine="709"/>
        <w:jc w:val="both"/>
        <w:rPr>
          <w:bCs/>
          <w:sz w:val="28"/>
          <w:szCs w:val="28"/>
        </w:rPr>
      </w:pPr>
      <w:r w:rsidRPr="00BC0181">
        <w:rPr>
          <w:bCs/>
          <w:sz w:val="28"/>
          <w:szCs w:val="28"/>
        </w:rPr>
        <w:t>Nội dung thủ tục: Gộp chung 02 nhóm thủ tục có cùng bản chất "chứng nhận đạt chuẩn kỹ thuật/năng lực", chỉ khác đối tượng: (a) tổ chức, doanh nghiệp sản xuất, cung cấp sản phẩm, dịch vụ công nghệ chuyên dùng bảo vệ, mã hóa, giám sát an ninh dữ liệu phải được chứng nhận hợp quy trước khi lưu thông trên thị trường (Điều 10, Khoản 2); (b) nhân sự trực tiếp vận hành, quản trị hệ thống xử lý Dữ liệu Quan trọng, Cốt lõi phải sở hữu chứng chỉ chuyên môn về an ninh dữ liệu hoặc được công nhận chứng chỉ quốc tế tương đương (Điều 45). (Nghĩa vụ tự đánh giá, báo cáo rủi ro định kỳ, đột xuất quy định tại Điều 10, Khoản 1 được tách khỏi phạm vi thủ tục hành chính, chuyển thành nghĩa vụ tuân thủ thường xuyên, do không phát sinh việc nộp hồ sơ xin phê duyệt của cơ quan nhà nước</w:t>
      </w:r>
      <w:r w:rsidR="0021061C">
        <w:rPr>
          <w:bCs/>
          <w:sz w:val="28"/>
          <w:szCs w:val="28"/>
        </w:rPr>
        <w:t>).</w:t>
      </w:r>
    </w:p>
    <w:p w14:paraId="3F84D141"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 xml:space="preserve">Đánh giá khách quan về tính khả thi và chi phí tuân thủ: Nhánh (a) là thủ tục cấp chứng nhận có chi phí thử nghiệm kỹ thuật đáng kể. Nhánh (b) cần thiết để chuẩn hóa năng lực nhân sự vận hành hệ thống trọng yếu, nhưng trong bối cảnh Việt Nam đang thiếu hụt khoảng 700.000 nhân lực chuyên trách an ninh mạng, việc áp đặt ngay yêu </w:t>
      </w:r>
      <w:r w:rsidRPr="00BC0181">
        <w:rPr>
          <w:bCs/>
          <w:sz w:val="28"/>
          <w:szCs w:val="28"/>
        </w:rPr>
        <w:lastRenderedPageBreak/>
        <w:t>cầu bắt buộc có chứng chỉ có thể vượt quá năng lực đáp ứng của thị trường lao động trong ngắn hạn nếu không có lộ trình và cơ chế công nhận tương đương linh hoạt.</w:t>
      </w:r>
    </w:p>
    <w:p w14:paraId="655C78B0"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Phương án thực hiện, giảm thiểu chi phí tuân thủ:</w:t>
      </w:r>
    </w:p>
    <w:p w14:paraId="278EDC1E"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 Nhánh (a): công nhận kết quả thử nghiệm của các phòng thử nghiệm đã được chỉ định, kể cả phòng thử nghiệm nước ngoài có thỏa thuận thừa nhận lẫn nhau, để giảm chi phí và thời gian chờ đợi cho doanh nghiệp.</w:t>
      </w:r>
    </w:p>
    <w:p w14:paraId="2E9F3F1F"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 Nhánh (b): công bố sớm danh mục chứng chỉ quốc tế uy tín được công nhận tương đương; áp dụng lộ trình chuyển tiếp tối thiểu 24 tháng; phân cấp cho các Bộ chủ quản lĩnh vực tự tổ chức sát hạch trên Khung tiêu chuẩn năng lực quốc gia; có chính sách học bổng, hỗ trợ chi phí đào tạo, sát hạch cho nhân sự cơ quan nhà nước, doanh nghiệp nhỏ và vừa.</w:t>
      </w:r>
    </w:p>
    <w:p w14:paraId="2E454208"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Thứ ba: Phê duyệt ngoại lệ đặc biệt đối với dữ liệu Cốt lõi, Quan trọng (Điều 16, Khoản 2; Điều 21, Khoản 1)</w:t>
      </w:r>
    </w:p>
    <w:p w14:paraId="32030878"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Nội dung thủ tục: Gộp chung 02 trường hợp ngoại lệ đặc biệt liên quan dữ liệu Cốt lõi, Quan trọng do có cùng tính chất hiếm gặp, cùng yêu cầu thẩm định trước khi trình cấp có thẩm quyền quyết định: (a) tổ chức, cá nhân có nhu cầu giao dịch, mua bán dữ liệu Cốt lõi, Quan trọng thuộc trường hợp đặc biệt phải được Chính phủ cho phép bằng Nghị quyết; (b) trường hợp đặc biệt phục vụ lợi ích tối cao quốc gia được miễn áp dụng biện pháp cách ly vật lý bắt buộc phải được Thủ tướng Chính phủ phê duyệt bằng văn bản.</w:t>
      </w:r>
    </w:p>
    <w:p w14:paraId="3968BC16"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Đánh giá khách quan về tính khả thi và chi phí tuân thủ: Phù hợp về nguyên tắc kiểm soát chặt dữ liệu nhạy cảm nhất, thẩm quyền quyết định ở cấp cao nhất tương xứng mức độ nhạy cảm. "Trường hợp đặc biệt" (điểm a) chưa được định nghĩa hoặc liệt kê tiêu chí trong Luật, dễ dẫn đến áp dụng tùy nghi. Cả hai đều là thủ tục áp dụng cho số lượng rất hạn chế trường hợp nên mức độ ảnh hưởng đến môi trường kinh doanh chung là không lớn; việc gộp chung một quy trình xử lý giúp giảm đầu mối tiếp nhận hồ sơ cho tổ chức, doanh nghiệp.</w:t>
      </w:r>
    </w:p>
    <w:p w14:paraId="02045F54"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Phương án thực hiện, giảm thiểu chi phí tuân thủ:</w:t>
      </w:r>
    </w:p>
    <w:p w14:paraId="7CC9C9FE"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 Nghị định hướng dẫn quy định rõ tiêu chí, danh mục minh họa các trường hợp được coi là "đặc biệt" đối với cả hai loại ngoại lệ để doanh nghiệp, cơ quan có căn cứ tự đánh giá trước khi nộp hồ sơ.</w:t>
      </w:r>
    </w:p>
    <w:p w14:paraId="6457031E"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 Quy định thời hạn giải quyết cụ thể theo từng loại ngoại lệ, tránh kéo dài do đây có thể là tình huống có tính cấp bách: tối đa 20 ngày làm việc (trình Chính phủ); tối đa 15 ngày làm việc, có thể rút gọn còn 05 ngày làm việc nếu cấp bách (trình Thủ tướng Chính phủ).</w:t>
      </w:r>
    </w:p>
    <w:p w14:paraId="791F91C0"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Thứ tư: Thẩm định, cấp văn bản chấp thuận an ninh khi chuyển dữ liệu Quan trọng, Cốt lõi ra nước ngoài (Điều 32, Điều 33)</w:t>
      </w:r>
    </w:p>
    <w:p w14:paraId="4B277C9E"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lastRenderedPageBreak/>
        <w:t>Nội dung thủ tục: Việc chuyển Dữ liệu Quan trọng, Cốt lõi ra nước ngoài phải được Bộ Công an thẩm định, cấp văn bản chấp thuận trước khi thực hiện (Điều 32, Khoản 2). Đối với dữ liệu là bí mật kinh doanh, việc chuyển ra nước ngoài được miễn thẩm định trước nếu đáp ứng một trong ba cơ chế: quốc gia tiếp nhận được công nhận có hệ thống pháp luật tương đương; ký Hợp đồng tiêu chuẩn bảo vệ dữ liệu theo mẫu của Bộ Công an; hoặc đã được cấp Chứng nhận hợp quy về an ninh dữ liệu xuyên biên giới (Điều 32, Khoản 3). Tổ chức áp dụng cơ chế miễn trừ phải tự lập hồ sơ đánh giá tác động và báo cáo định kỳ hằng năm, chịu sự hậu kiểm của Bộ Công an (Điều 32, Khoản 4). Trường hợp cần tương trợ tư pháp quốc tế liên quan đến dữ liệu, thực hiện theo nguyên tắc tại Điều 33.</w:t>
      </w:r>
    </w:p>
    <w:p w14:paraId="44E49BA1"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Đánh giá khách quan về tính khả thi và chi phí tuân thủ: Cơ chế phân luồng theo 3 điều kiện miễn trừ là thiết kế hợp lý, phù hợp thông lệ quốc tế.Tuy nhiên cần làm rõ: (i) tiêu chí "tác động trực tiếp, tức thời" cần được lượng hóa cụ thể để tránh áp dụng tùy nghi; (ii) doanh nghiệp vừa và nhỏ tham gia chuỗi cung ứng số toàn cầu có thể gặp khó khăn khi lựa chọn, đàm phán một trong ba cơ chế miễn trừ nếu thiếu mẫu hợp đồng chuẩn, danh mục quốc gia tương đương được công bố kịp thời.</w:t>
      </w:r>
    </w:p>
    <w:p w14:paraId="11334E5A"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Phương án thực hiện, giảm thiểu chi phí tuân thủ:</w:t>
      </w:r>
    </w:p>
    <w:p w14:paraId="78518485"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 Bộ Công an công bố sớm và cập nhật định kỳ Danh mục quốc gia, vùng lãnh thổ được công nhận có hệ thống pháp luật bảo vệ dữ liệu tương đương.</w:t>
      </w:r>
    </w:p>
    <w:p w14:paraId="6A55DA80"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 Ban hành sớm mẫu Hợp đồng tiêu chuẩn bảo vệ dữ liệu (SCC) thống nhất, đăng tải công khai.</w:t>
      </w:r>
    </w:p>
    <w:p w14:paraId="7AAC47D3"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 Lượng hóa cụ thể ngưỡng "tác động trực tiếp, tức thời" bằng tiêu chí định lượng trong nghị định hướng dẫn.</w:t>
      </w:r>
    </w:p>
    <w:p w14:paraId="3E4C5600"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 Áp dụng cơ chế hậu kiểm là chủ yếu (báo cáo định kỳ hằng năm) đối với nhóm dữ liệu không thuộc diện phải thẩm định trước.</w:t>
      </w:r>
    </w:p>
    <w:p w14:paraId="118C0AA8"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Thứ năm: Quy trình báo cáo và xác nhận khôi phục kết nối sau sự cố an ninh dữ liệu (Điều 38, Điều 41)</w:t>
      </w:r>
    </w:p>
    <w:p w14:paraId="44817B8A" w14:textId="380FD9A9" w:rsidR="00572EBF" w:rsidRPr="00BC0181" w:rsidRDefault="00572EBF" w:rsidP="00E21491">
      <w:pPr>
        <w:spacing w:before="120" w:after="120" w:line="23" w:lineRule="atLeast"/>
        <w:ind w:firstLine="709"/>
        <w:jc w:val="both"/>
        <w:rPr>
          <w:bCs/>
          <w:sz w:val="28"/>
          <w:szCs w:val="28"/>
        </w:rPr>
      </w:pPr>
      <w:r w:rsidRPr="00BC0181">
        <w:rPr>
          <w:bCs/>
          <w:sz w:val="28"/>
          <w:szCs w:val="28"/>
        </w:rPr>
        <w:t>Nội dung thủ tục: Gộp chung 02 giai đoạn của cùng một chuỗi xử lý sự cố an ninh dữ liệu: (a) chủ quản dữ liệu có trách nhiệm báo cáo kịp thời sự cố an ninh dữ liệu cho Bộ Công an (hoặc Bộ Quốc phòng đối với dữ liệu quân sự) theo các mốc thời gian quy định (dữ liệu Cốt lõi: trong 02 giờ; dữ liệu khác: thông báo ban đầu trong 24 giờ, báo cáo đầy đủ trong 72 giờ, báo cáo tổng kết trong 30 ngày); (b) sau khi khắc phục sự cố, hệ thống thuộc hạ tầng trọng yếu phải được cơ quan có thẩm quyền xác nhận đủ điều kiện an toàn trước khi khôi phục kết nối.</w:t>
      </w:r>
    </w:p>
    <w:p w14:paraId="366D32ED"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 xml:space="preserve">Đánh giá khách quan về tính khả thi và chi phí tuân thủ: Rất cần thiết; việc quy định mốc thời gian cụ thể ngay trong Luật là điểm tiến bộ, tương thích chuẩn quốc tế (EU NIS2, Hàn Quốc - PIPA). Việc gộp chung một quy trình liên tục (báo cáo - khắc phục - xác nhận khôi phục) thay vì hai thủ tục tách rời là hợp lý vì cùng phát sinh từ </w:t>
      </w:r>
      <w:r w:rsidRPr="00BC0181">
        <w:rPr>
          <w:bCs/>
          <w:sz w:val="28"/>
          <w:szCs w:val="28"/>
        </w:rPr>
        <w:lastRenderedPageBreak/>
        <w:t>một sự kiện, cùng cơ quan giải quyết, tránh tổ chức phải mở hồ sơ hai lần cho cùng một sự cố. Cần lưu ý bảo đảm thời hạn xác nhận khôi phục đủ ngắn để không kéo dài gián đoạn hoạt động của cơ quan, tổ chức bị sự cố.</w:t>
      </w:r>
    </w:p>
    <w:p w14:paraId="1647871E"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Phương án thực hiện, giảm thiểu chi phí tuân thủ:</w:t>
      </w:r>
    </w:p>
    <w:p w14:paraId="51173548"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 Ban hành mẫu báo cáo sự cố rút gọn (dạng trực tuyến, điền nhanh), dùng chung một hồ sơ điện tử duy nhất cho cả giai đoạn báo cáo và giai đoạn đề nghị xác nhận khôi phục, để tổ chức không phải mở hồ sơ hai lần cho cùng một sự cố.</w:t>
      </w:r>
    </w:p>
    <w:p w14:paraId="0263EB85"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 Thiết lập kênh báo cáo trực tuyến 24/7 kết nối trực tiếp với Trung tâm Quản trị an ninh dữ liệu quốc gia; quy định thời hạn xác nhận đủ điều kiện an toàn khôi phục kết nối tối đa 24 giờ kể từ khi nhận đủ báo cáo kỹ thuật khắc phục sự cố.</w:t>
      </w:r>
    </w:p>
    <w:p w14:paraId="4E4EF10F" w14:textId="7749AFD0" w:rsidR="00572EBF" w:rsidRPr="00BC0181" w:rsidRDefault="00572EBF" w:rsidP="00BC0181">
      <w:pPr>
        <w:spacing w:before="120" w:after="120" w:line="23" w:lineRule="atLeast"/>
        <w:ind w:firstLine="709"/>
        <w:jc w:val="both"/>
        <w:rPr>
          <w:bCs/>
          <w:sz w:val="28"/>
          <w:szCs w:val="28"/>
        </w:rPr>
      </w:pPr>
      <w:r w:rsidRPr="00BC0181">
        <w:rPr>
          <w:bCs/>
          <w:sz w:val="28"/>
          <w:szCs w:val="28"/>
        </w:rPr>
        <w:t>Tóm lại, Dự thảo Luật An ninh dữ liệu dự kiến phát sinh 05 nhóm thủ tục hành chính. Cấu trúc 05 nhóm phản ánh đúng 05 giai đoạn/tình huống trong vòng đời quản lý an ninh dữ liệu: (1) tiền kiểm trước khi triển khai hệ thống, công nghệ, dịch vụ; (2) chứng nhận đạt chuẩn sản phẩm và nhân lực; (3) ngoại lệ đặc biệt cấp cao; (4) xuyên biên giới; (5) hậu kiểm khi xảy ra sự cố. Để bảo đảm tính khả thi và không tạo gánh nặng chi phí tuân thủ quá mức, cần quán triệt nguyên tắc: (i) phân loại nghĩa vụ theo quy mô, mức độ rủi ro thực tế thay vì áp dụng đồng loạt; (ii) công khai, số hóa toàn bộ quy trình, mẫu biểu, danh mục tham chiếu ngay từ giai đoạn đầu thi hành Luật; (iii) ấn định thời hạn giải quyết cụ thể, phân nhánh rõ theo từng loại hình trong mỗi nhóm thủ tục đã hợp nhất, tránh để trống hoàn toàn cho văn bản dưới luật.</w:t>
      </w:r>
    </w:p>
    <w:p w14:paraId="45829894"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2. Việc phân quyền, phân cấp</w:t>
      </w:r>
    </w:p>
    <w:p w14:paraId="3E24453A"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Thứ nhất: Thẩm quyền chủ trì và trách nhiệm quản lý nhà nước của các cơ quan chuyên trách</w:t>
      </w:r>
    </w:p>
    <w:p w14:paraId="10808549"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Dự thảo Luật phân định: Bộ Công an chịu trách nhiệm trước Chính phủ thực hiện quản lý nhà nước về an ninh dữ liệu, giữ vai trò chủ trì, điều phối tổng thể trên phạm vi toàn quốc. Bộ Quốc phòng chủ trì bảo đảm an ninh dữ liệu, phòng, chống gián điệp mạng đối với hệ thống thông tin, cơ sở dữ liệu quân sự, quốc phòng.</w:t>
      </w:r>
    </w:p>
    <w:p w14:paraId="2D85F260" w14:textId="6DD57C8F" w:rsidR="00572EBF" w:rsidRPr="00BC0181" w:rsidRDefault="00572EBF" w:rsidP="00BC0181">
      <w:pPr>
        <w:spacing w:before="120" w:after="120" w:line="23" w:lineRule="atLeast"/>
        <w:ind w:firstLine="709"/>
        <w:jc w:val="both"/>
        <w:rPr>
          <w:bCs/>
          <w:sz w:val="28"/>
          <w:szCs w:val="28"/>
        </w:rPr>
      </w:pPr>
      <w:r w:rsidRPr="00BC0181">
        <w:rPr>
          <w:bCs/>
          <w:sz w:val="28"/>
          <w:szCs w:val="28"/>
        </w:rPr>
        <w:t xml:space="preserve">Đánh giá khách quan: Việc phân định theo mô hình "một đầu mối chủ trì - lực lượng quốc phòng phụ trách mảng đặc thù" là hợp lý. Tuy nhiên, ranh giới xác định dữ liệu do cơ quan, đơn vị thuộc Bộ Quốc phòng khởi tạo nhưng "không cấu thành dữ liệu quân sự, quốc phòng" cần quy định tiêu chí rõ ràng hơn để tránh phát sinh </w:t>
      </w:r>
      <w:r w:rsidR="000E0762">
        <w:rPr>
          <w:bCs/>
          <w:sz w:val="28"/>
          <w:szCs w:val="28"/>
        </w:rPr>
        <w:t xml:space="preserve">chồng chéo </w:t>
      </w:r>
      <w:r w:rsidRPr="00BC0181">
        <w:rPr>
          <w:bCs/>
          <w:sz w:val="28"/>
          <w:szCs w:val="28"/>
        </w:rPr>
        <w:t>thẩm quyền.</w:t>
      </w:r>
    </w:p>
    <w:p w14:paraId="06B010D7"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Phương án thực hiện: Chính phủ ban hành tiêu chí phân loại cụ thể để xác định dữ liệu "không phải dữ liệu quân sự, bí mật quốc phòng" do cơ quan, đơn vị, doanh nghiệp thuộc Bộ Quốc phòng khởi tạo.</w:t>
      </w:r>
    </w:p>
    <w:p w14:paraId="2B82B1EB"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Thứ hai: Cơ chế phối hợp liên thông và ứng phó khẩn cấp giữa các lực lượng chuyên trách</w:t>
      </w:r>
    </w:p>
    <w:p w14:paraId="4FF0457C"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lastRenderedPageBreak/>
        <w:t>Chủ quản hệ thống thông tin xử lý Dữ liệu Quan trọng, Cốt lõi có trách nhiệm kết nối kỹ thuật, chia sẻ dữ liệu nhật ký cảnh báo về Hệ thống giám sát an ninh dữ liệu tập trung quốc gia; hoạt động giám sát kỹ thuật liên ngành chỉ được thực hiện trên lớp thông tin kiểm toán hệ thống, không xâm phạm nội dung dữ liệu thô.</w:t>
      </w:r>
    </w:p>
    <w:p w14:paraId="4FA679F7" w14:textId="456FA635" w:rsidR="00572EBF" w:rsidRPr="00BC0181" w:rsidRDefault="00572EBF" w:rsidP="00BC0181">
      <w:pPr>
        <w:spacing w:before="120" w:after="120" w:line="23" w:lineRule="atLeast"/>
        <w:ind w:firstLine="709"/>
        <w:jc w:val="both"/>
        <w:rPr>
          <w:bCs/>
          <w:sz w:val="28"/>
          <w:szCs w:val="28"/>
        </w:rPr>
      </w:pPr>
      <w:r w:rsidRPr="00BC0181">
        <w:rPr>
          <w:bCs/>
          <w:sz w:val="28"/>
          <w:szCs w:val="28"/>
        </w:rPr>
        <w:t>Đánh giá khách quan: Nguyên tắc giới hạn giám sát kỹ thuật ở lớp metadata</w:t>
      </w:r>
      <w:r w:rsidR="000E0762">
        <w:rPr>
          <w:bCs/>
          <w:sz w:val="28"/>
          <w:szCs w:val="28"/>
        </w:rPr>
        <w:t xml:space="preserve"> (siêu dữ liệu)</w:t>
      </w:r>
      <w:r w:rsidRPr="00BC0181">
        <w:rPr>
          <w:bCs/>
          <w:sz w:val="28"/>
          <w:szCs w:val="28"/>
        </w:rPr>
        <w:t xml:space="preserve"> là điểm thiết kế tích cực. Thời hạn thực thi mệnh lệnh kỹ thuật khẩn cấp được giao Chính phủ quy định cụ thể thay vì ấn định một mốc cứng ngay trong Luật - đây là cách tiếp cận thận trọng, hợp lý vì mốc thời gian phù hợp cần dựa trên khảo sát năng lực kỹ thuật thực tế của từng loại hệ thống.</w:t>
      </w:r>
    </w:p>
    <w:p w14:paraId="40A1E35B"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Phương án thực hiện:</w:t>
      </w:r>
    </w:p>
    <w:p w14:paraId="1D9BDFBF" w14:textId="77777777" w:rsidR="00572EBF" w:rsidRPr="00D040E4" w:rsidRDefault="00572EBF" w:rsidP="00BC0181">
      <w:pPr>
        <w:spacing w:before="120" w:after="120" w:line="23" w:lineRule="atLeast"/>
        <w:ind w:firstLine="709"/>
        <w:jc w:val="both"/>
        <w:rPr>
          <w:bCs/>
          <w:spacing w:val="-4"/>
          <w:sz w:val="28"/>
          <w:szCs w:val="28"/>
        </w:rPr>
      </w:pPr>
      <w:r w:rsidRPr="00D040E4">
        <w:rPr>
          <w:bCs/>
          <w:spacing w:val="-4"/>
          <w:sz w:val="28"/>
          <w:szCs w:val="28"/>
        </w:rPr>
        <w:t>- Nghị định hướng dẫn quy định thời hạn thực thi mệnh lệnh kỹ thuật khẩn cấp theo nguyên tắc phân loại theo mức độ sự cố và năng lực kỹ thuật của từng loại hệ thống.</w:t>
      </w:r>
    </w:p>
    <w:p w14:paraId="7FE35303"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 Thiết lập đầu mối trực chiến kỹ thuật 24/7 liên ngành để rút ngắn thời gian phối hợp khi có sự cố.</w:t>
      </w:r>
    </w:p>
    <w:p w14:paraId="4EF495DF"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3. Việc ứng dụng, thúc đẩy phát triển khoa học, công nghệ, đổi mới sáng tạo và chuyển đổi số</w:t>
      </w:r>
    </w:p>
    <w:p w14:paraId="1826688D"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Thứ nhất: Lộ trình bắt buộc chuyển đổi sang mật mã kháng lượng tử</w:t>
      </w:r>
    </w:p>
    <w:p w14:paraId="1485A937" w14:textId="3F9C3CBD" w:rsidR="00572EBF" w:rsidRPr="00BC0181" w:rsidRDefault="00572EBF" w:rsidP="00BC0181">
      <w:pPr>
        <w:spacing w:before="120" w:after="120" w:line="23" w:lineRule="atLeast"/>
        <w:ind w:firstLine="709"/>
        <w:jc w:val="both"/>
        <w:rPr>
          <w:bCs/>
          <w:sz w:val="28"/>
          <w:szCs w:val="28"/>
        </w:rPr>
      </w:pPr>
      <w:r w:rsidRPr="00BC0181">
        <w:rPr>
          <w:bCs/>
          <w:sz w:val="28"/>
          <w:szCs w:val="28"/>
        </w:rPr>
        <w:t>Dự thảo Luật quy định mốc thời hạn bắt buộc kể từ ngày 01/01/203</w:t>
      </w:r>
      <w:r w:rsidR="00E21491">
        <w:rPr>
          <w:bCs/>
          <w:sz w:val="28"/>
          <w:szCs w:val="28"/>
        </w:rPr>
        <w:t>5</w:t>
      </w:r>
      <w:r w:rsidRPr="00BC0181">
        <w:rPr>
          <w:bCs/>
          <w:sz w:val="28"/>
          <w:szCs w:val="28"/>
        </w:rPr>
        <w:t>, hệ thống thông tin lưu trữ, xử lý Dữ liệu Cốt lõi, Quan trọng thuộc khối cơ quan Đảng, Nhà nước, lực lượng vũ trang và các lĩnh vực trọng yếu phải hoàn thành chuyển đổi sang giải pháp mật mã hậu lượng tử.</w:t>
      </w:r>
    </w:p>
    <w:p w14:paraId="66B95B1A" w14:textId="238B7890" w:rsidR="00572EBF" w:rsidRPr="00BC0181" w:rsidRDefault="00572EBF" w:rsidP="00BC0181">
      <w:pPr>
        <w:spacing w:before="120" w:after="120" w:line="23" w:lineRule="atLeast"/>
        <w:ind w:firstLine="709"/>
        <w:jc w:val="both"/>
        <w:rPr>
          <w:bCs/>
          <w:sz w:val="28"/>
          <w:szCs w:val="28"/>
        </w:rPr>
      </w:pPr>
      <w:r w:rsidRPr="00BC0181">
        <w:rPr>
          <w:bCs/>
          <w:sz w:val="28"/>
          <w:szCs w:val="28"/>
        </w:rPr>
        <w:t>Đánh giá khách quan: Quy định có tính đón đầu công nghệ, đi trước so với phần lớn các quốc gia trong khu vực. Chi phí chuyển đổi hạ tầng mật mã cho toàn bộ hệ thống trọng yếu là không nhỏ, cần tiêu chuẩn kỹ thuật quốc gia được ban hành đủ sớm để tránh dồn áp lực chuyển đổi vào giai đoạn cận kề mốc 203</w:t>
      </w:r>
      <w:r w:rsidR="00E21491">
        <w:rPr>
          <w:bCs/>
          <w:sz w:val="28"/>
          <w:szCs w:val="28"/>
        </w:rPr>
        <w:t>5</w:t>
      </w:r>
      <w:r w:rsidRPr="00BC0181">
        <w:rPr>
          <w:bCs/>
          <w:sz w:val="28"/>
          <w:szCs w:val="28"/>
        </w:rPr>
        <w:t>.</w:t>
      </w:r>
    </w:p>
    <w:p w14:paraId="6FE8D028"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Phương án thực hiện:</w:t>
      </w:r>
    </w:p>
    <w:p w14:paraId="518674F5" w14:textId="4C224FEE" w:rsidR="00572EBF" w:rsidRPr="00BC0181" w:rsidRDefault="00572EBF" w:rsidP="00BC0181">
      <w:pPr>
        <w:spacing w:before="120" w:after="120" w:line="23" w:lineRule="atLeast"/>
        <w:ind w:firstLine="709"/>
        <w:jc w:val="both"/>
        <w:rPr>
          <w:bCs/>
          <w:sz w:val="28"/>
          <w:szCs w:val="28"/>
        </w:rPr>
      </w:pPr>
      <w:r w:rsidRPr="00BC0181">
        <w:rPr>
          <w:bCs/>
          <w:sz w:val="28"/>
          <w:szCs w:val="28"/>
        </w:rPr>
        <w:t xml:space="preserve">- Ban hành tiêu chuẩn, quy chuẩn kỹ thuật quốc gia về mật mã hậu lượng tử </w:t>
      </w:r>
      <w:r w:rsidR="00E21491">
        <w:rPr>
          <w:bCs/>
          <w:sz w:val="28"/>
          <w:szCs w:val="28"/>
        </w:rPr>
        <w:t xml:space="preserve">trước </w:t>
      </w:r>
      <w:r w:rsidRPr="00BC0181">
        <w:rPr>
          <w:bCs/>
          <w:sz w:val="28"/>
          <w:szCs w:val="28"/>
        </w:rPr>
        <w:t>năm 20</w:t>
      </w:r>
      <w:r w:rsidR="00E21491">
        <w:rPr>
          <w:bCs/>
          <w:sz w:val="28"/>
          <w:szCs w:val="28"/>
        </w:rPr>
        <w:t>30</w:t>
      </w:r>
      <w:r w:rsidRPr="00BC0181">
        <w:rPr>
          <w:bCs/>
          <w:sz w:val="28"/>
          <w:szCs w:val="28"/>
        </w:rPr>
        <w:t>.</w:t>
      </w:r>
    </w:p>
    <w:p w14:paraId="2E41C088"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 Ưu tiên bố trí ngân sách hỗ trợ chuyển đổi cho cơ quan nhà nước và hạ tầng trọng yếu trước; khu vực doanh nghiệp được khuyến khích qua ưu đãi thuế theo Điều 48 (Khoản 3).</w:t>
      </w:r>
    </w:p>
    <w:p w14:paraId="2B83FFF8"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Thứ hai: Quản trị thuật toán, hệ thống trí tuệ nhân tạo</w:t>
      </w:r>
    </w:p>
    <w:p w14:paraId="01FF896A"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Trường hợp hệ thống trí tuệ nhân tạo vi phạm nghiêm trọng gây hậu quả đặc biệt lớn, Bộ Công an có thẩm quyền quyết định tạm ngừng cung cấp dịch vụ hoặc áp dụng biện pháp ngăn chặn kỹ thuật (Điều 26, Khoản 4).</w:t>
      </w:r>
    </w:p>
    <w:p w14:paraId="43476373"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lastRenderedPageBreak/>
        <w:t>Đánh giá khách quan: Cần có quy trình, tiêu chí xác định "vi phạm nghiêm trọng" rõ ràng và cơ chế giải trình cho doanh nghiệp trước khi áp dụng, tránh gây thiệt hại không cần thiết cho hoạt động kinh doanh hợp pháp nếu áp dụng thiếu cẩn trọng.</w:t>
      </w:r>
    </w:p>
    <w:p w14:paraId="24BF189C"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Phương án thực hiện:</w:t>
      </w:r>
    </w:p>
    <w:p w14:paraId="521FDD61"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 Nghị định hướng dẫn cụ thể hóa tiêu chí "vi phạm nghiêm trọng gây hậu quả đặc biệt lớn" bằng các dấu hiệu định lượng, định tính rõ ràng.</w:t>
      </w:r>
    </w:p>
    <w:p w14:paraId="2B7CC1BC"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 Thiết lập quy trình thông báo, yêu cầu khắc phục trước khi áp dụng biện pháp tạm ngừng dịch vụ, trừ trường hợp khẩn cấp đe dọa an ninh quốc gia.</w:t>
      </w:r>
    </w:p>
    <w:p w14:paraId="6C21078F"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Thứ ba: Cơ chế huy động nguồn lực xã hội hóa tài chính</w:t>
      </w:r>
    </w:p>
    <w:p w14:paraId="4A2BF6FA"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Điều 48 quy định Nhà nước khuyến khích tổ chức, cá nhân đầu tư, tài trợ cho hoạt động nghiên cứu, phát triển công nghệ, đào tạo nhân lực an ninh dữ liệu; các khoản chi phí này được tính là chi phí hợp lý được trừ khi xác định thu nhập chịu thuế thu nhập doanh nghiệp.</w:t>
      </w:r>
    </w:p>
    <w:p w14:paraId="13AEC2BE"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Đánh giá khách quan: Cơ chế xã hội hóa tài chính hiện được thiết kế chủ yếu dưới hình thức ưu đãi thuế và khuyến khích đầu tư/tài trợ tự nguyện, chưa phải một Quỹ tài chính nhà nước ngoài ngân sách độc lập với cơ chế cấp vốn, bảo lãnh tín dụng chính thức.</w:t>
      </w:r>
    </w:p>
    <w:p w14:paraId="3271B868"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Phương án thực hiện: Trước mắt tập trung triển khai hiệu quả cơ chế ưu đãi thuế theo Điều 48 (Khoản 3) bằng hướng dẫn cụ thể của Bộ Tài chính.</w:t>
      </w:r>
    </w:p>
    <w:p w14:paraId="4FBC4F43"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4. Việc bảo đảm bình đẳng giới</w:t>
      </w:r>
    </w:p>
    <w:p w14:paraId="0639A33F"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Các quy định trong dự thảo Luật bảo đảm sự thống nhất, tuân thủ nguyên tắc của Hiến pháp năm 2013 và các điều ước quốc tế về quyền con người mà Việt Nam là thành viên; xác lập quyền của mọi công dân - không phân biệt giới tính, thành phần xã hội - đều bình đẳng trong việc tiếp cận, sử dụng và được bảo vệ an toàn thông tin số.</w:t>
      </w:r>
    </w:p>
    <w:p w14:paraId="6C385C8F" w14:textId="77777777" w:rsidR="00572EBF" w:rsidRPr="00D040E4" w:rsidRDefault="00572EBF" w:rsidP="00BC0181">
      <w:pPr>
        <w:spacing w:before="120" w:after="120" w:line="23" w:lineRule="atLeast"/>
        <w:ind w:firstLine="709"/>
        <w:jc w:val="both"/>
        <w:rPr>
          <w:bCs/>
          <w:spacing w:val="-4"/>
          <w:sz w:val="28"/>
          <w:szCs w:val="28"/>
        </w:rPr>
      </w:pPr>
      <w:r w:rsidRPr="00D040E4">
        <w:rPr>
          <w:bCs/>
          <w:spacing w:val="-4"/>
          <w:sz w:val="28"/>
          <w:szCs w:val="28"/>
        </w:rPr>
        <w:t>Đối với dữ liệu có tính chất nhạy cảm cao (dữ liệu hệ gen, sinh trắc học định danh), dự thảo Luật yêu cầu áp dụng chế độ bảo vệ theo tiêu chuẩn Dữ liệu Quan trọng hoặc Cốt lõi, góp phần hạn chế nguy cơ lạm dụng công nghệ để phân biệt đối xử về giới.</w:t>
      </w:r>
    </w:p>
    <w:p w14:paraId="4943CE63"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Đánh giá khách quan: Rà soát toàn bộ dự thảo cho thấy không có quy định nào tạo sự phân biệt đối xử trực tiếp hoặc gián tiếp về giới.</w:t>
      </w:r>
    </w:p>
    <w:p w14:paraId="4951904B"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5. Việc thực hiện chính sách dân tộc</w:t>
      </w:r>
    </w:p>
    <w:p w14:paraId="59196F67"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 xml:space="preserve">Dự thảo Luật không có nội dung phân biệt đối xử về dân tộc, vùng miền, đồng thời thiết lập cơ chế ưu tiên phân bổ nguồn lực từ ngân sách nhà nước, ngân sách quốc phòng, an ninh và các nguồn lực xã hội hóa (Điều 48) để đầu tư hạ tầng an ninh dữ liệu tại vùng có điều kiện kinh tế - xã hội đặc biệt khó khăn, vùng sâu, vùng xa, biên giới, hải đảo, vùng đồng bào dân tộc thiểu số; bảo đảm quyền tiếp cận dịch vụ công trực </w:t>
      </w:r>
      <w:r w:rsidRPr="00BC0181">
        <w:rPr>
          <w:bCs/>
          <w:sz w:val="28"/>
          <w:szCs w:val="28"/>
        </w:rPr>
        <w:lastRenderedPageBreak/>
        <w:t>tuyến bình đẳng; quy định trách nhiệm của Lực lượng bảo vệ an ninh dữ liệu quốc gia (Điều 44) trong ứng cứu khẩn cấp khi xảy ra sự cố tại các địa bàn ưu tiên.</w:t>
      </w:r>
    </w:p>
    <w:p w14:paraId="3FD39A4F"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Đánh giá khách quan: Các chính sách ưu tiên phù hợp với chủ trương, chính sách dân tộc của Đảng và Nhà nước. Cần quy định rõ trong văn bản hướng dẫn thi hành về tiêu chí xác định "địa bàn ưu tiên" và cơ chế phân bổ ngân sách cụ thể hằng năm, tránh chính sách chỉ dừng ở mức định hướng chung.</w:t>
      </w:r>
    </w:p>
    <w:p w14:paraId="33D3A503" w14:textId="77777777" w:rsidR="00572EBF" w:rsidRPr="00BC0181" w:rsidRDefault="00572EBF" w:rsidP="00BC0181">
      <w:pPr>
        <w:spacing w:before="120" w:after="120" w:line="23" w:lineRule="atLeast"/>
        <w:ind w:firstLine="709"/>
        <w:jc w:val="both"/>
        <w:rPr>
          <w:b/>
          <w:sz w:val="28"/>
          <w:szCs w:val="28"/>
        </w:rPr>
      </w:pPr>
      <w:r w:rsidRPr="00BC0181">
        <w:rPr>
          <w:b/>
          <w:sz w:val="28"/>
          <w:szCs w:val="28"/>
        </w:rPr>
        <w:t>II. PHỤ LỤC </w:t>
      </w:r>
    </w:p>
    <w:p w14:paraId="596E3589" w14:textId="77777777" w:rsidR="00572EBF" w:rsidRPr="00BC0181" w:rsidRDefault="00572EBF" w:rsidP="00BC0181">
      <w:pPr>
        <w:spacing w:before="120" w:after="120" w:line="23" w:lineRule="atLeast"/>
        <w:ind w:firstLine="709"/>
        <w:jc w:val="both"/>
        <w:rPr>
          <w:bCs/>
          <w:sz w:val="28"/>
          <w:szCs w:val="28"/>
        </w:rPr>
      </w:pPr>
      <w:r w:rsidRPr="00BC0181">
        <w:rPr>
          <w:bCs/>
          <w:sz w:val="28"/>
          <w:szCs w:val="28"/>
        </w:rPr>
        <w:t> Kèm theo Biểu mẫu đánh giá tác động thủ tục hành chính, Biểu mẫu tính chi phí tuân thủ thủ tục hành chính theo hướng dẫn của Bộ trưởng Bộ Tư pháp.</w:t>
      </w:r>
    </w:p>
    <w:p w14:paraId="2111CE77" w14:textId="77777777" w:rsidR="00572EBF" w:rsidRPr="00BC0181" w:rsidRDefault="00572EBF" w:rsidP="00BC0181">
      <w:pPr>
        <w:spacing w:before="120" w:after="120" w:line="23" w:lineRule="atLeast"/>
        <w:ind w:firstLine="709"/>
        <w:jc w:val="both"/>
        <w:rPr>
          <w:bCs/>
          <w:sz w:val="28"/>
          <w:szCs w:val="28"/>
        </w:rPr>
      </w:pPr>
    </w:p>
    <w:sectPr w:rsidR="00572EBF" w:rsidRPr="00BC0181" w:rsidSect="00BC0181">
      <w:headerReference w:type="default" r:id="rId6"/>
      <w:pgSz w:w="12240" w:h="15840"/>
      <w:pgMar w:top="1134" w:right="1134" w:bottom="1134" w:left="14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05B3F" w14:textId="77777777" w:rsidR="00817309" w:rsidRDefault="00817309" w:rsidP="00BC0181">
      <w:pPr>
        <w:spacing w:after="0" w:line="240" w:lineRule="auto"/>
      </w:pPr>
      <w:r>
        <w:separator/>
      </w:r>
    </w:p>
  </w:endnote>
  <w:endnote w:type="continuationSeparator" w:id="0">
    <w:p w14:paraId="488EB43A" w14:textId="77777777" w:rsidR="00817309" w:rsidRDefault="00817309" w:rsidP="00BC0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D0C93" w14:textId="77777777" w:rsidR="00817309" w:rsidRDefault="00817309" w:rsidP="00BC0181">
      <w:pPr>
        <w:spacing w:after="0" w:line="240" w:lineRule="auto"/>
      </w:pPr>
      <w:r>
        <w:separator/>
      </w:r>
    </w:p>
  </w:footnote>
  <w:footnote w:type="continuationSeparator" w:id="0">
    <w:p w14:paraId="05028FFE" w14:textId="77777777" w:rsidR="00817309" w:rsidRDefault="00817309" w:rsidP="00BC01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3452396"/>
      <w:docPartObj>
        <w:docPartGallery w:val="Page Numbers (Top of Page)"/>
        <w:docPartUnique/>
      </w:docPartObj>
    </w:sdtPr>
    <w:sdtEndPr>
      <w:rPr>
        <w:noProof/>
      </w:rPr>
    </w:sdtEndPr>
    <w:sdtContent>
      <w:p w14:paraId="50C65A5B" w14:textId="63AFE75F" w:rsidR="00BC0181" w:rsidRDefault="00BC018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6AD473D" w14:textId="77777777" w:rsidR="00BC0181" w:rsidRDefault="00BC018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EBF"/>
    <w:rsid w:val="00032E74"/>
    <w:rsid w:val="000E0762"/>
    <w:rsid w:val="0021061C"/>
    <w:rsid w:val="002A712E"/>
    <w:rsid w:val="00572EBF"/>
    <w:rsid w:val="00817309"/>
    <w:rsid w:val="008D70CF"/>
    <w:rsid w:val="009D78A1"/>
    <w:rsid w:val="00AE04A0"/>
    <w:rsid w:val="00BB4703"/>
    <w:rsid w:val="00BC0181"/>
    <w:rsid w:val="00D040E4"/>
    <w:rsid w:val="00E214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302D5"/>
  <w15:chartTrackingRefBased/>
  <w15:docId w15:val="{40C88485-4F3C-47B5-92E4-3B4D4C786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2EBF"/>
    <w:pPr>
      <w:spacing w:after="200" w:line="276" w:lineRule="auto"/>
    </w:pPr>
    <w:rPr>
      <w:rFonts w:ascii="Times New Roman" w:hAnsi="Times New Roman"/>
      <w:kern w:val="0"/>
      <w:sz w:val="26"/>
      <w:szCs w:val="22"/>
      <w:lang w:eastAsia="en-US"/>
      <w14:ligatures w14:val="none"/>
    </w:rPr>
  </w:style>
  <w:style w:type="paragraph" w:styleId="Heading1">
    <w:name w:val="heading 1"/>
    <w:basedOn w:val="Normal"/>
    <w:next w:val="Normal"/>
    <w:link w:val="Heading1Char"/>
    <w:uiPriority w:val="9"/>
    <w:qFormat/>
    <w:rsid w:val="00572EBF"/>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zh-CN"/>
      <w14:ligatures w14:val="standardContextual"/>
    </w:rPr>
  </w:style>
  <w:style w:type="paragraph" w:styleId="Heading2">
    <w:name w:val="heading 2"/>
    <w:basedOn w:val="Normal"/>
    <w:next w:val="Normal"/>
    <w:link w:val="Heading2Char"/>
    <w:uiPriority w:val="9"/>
    <w:semiHidden/>
    <w:unhideWhenUsed/>
    <w:qFormat/>
    <w:rsid w:val="00572EBF"/>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zh-CN"/>
      <w14:ligatures w14:val="standardContextual"/>
    </w:rPr>
  </w:style>
  <w:style w:type="paragraph" w:styleId="Heading3">
    <w:name w:val="heading 3"/>
    <w:basedOn w:val="Normal"/>
    <w:next w:val="Normal"/>
    <w:link w:val="Heading3Char"/>
    <w:uiPriority w:val="9"/>
    <w:semiHidden/>
    <w:unhideWhenUsed/>
    <w:qFormat/>
    <w:rsid w:val="00572EBF"/>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zh-CN"/>
      <w14:ligatures w14:val="standardContextual"/>
    </w:rPr>
  </w:style>
  <w:style w:type="paragraph" w:styleId="Heading4">
    <w:name w:val="heading 4"/>
    <w:basedOn w:val="Normal"/>
    <w:next w:val="Normal"/>
    <w:link w:val="Heading4Char"/>
    <w:uiPriority w:val="9"/>
    <w:semiHidden/>
    <w:unhideWhenUsed/>
    <w:qFormat/>
    <w:rsid w:val="00572EBF"/>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eastAsia="zh-CN"/>
      <w14:ligatures w14:val="standardContextual"/>
    </w:rPr>
  </w:style>
  <w:style w:type="paragraph" w:styleId="Heading5">
    <w:name w:val="heading 5"/>
    <w:basedOn w:val="Normal"/>
    <w:next w:val="Normal"/>
    <w:link w:val="Heading5Char"/>
    <w:uiPriority w:val="9"/>
    <w:semiHidden/>
    <w:unhideWhenUsed/>
    <w:qFormat/>
    <w:rsid w:val="00572EBF"/>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eastAsia="zh-CN"/>
      <w14:ligatures w14:val="standardContextual"/>
    </w:rPr>
  </w:style>
  <w:style w:type="paragraph" w:styleId="Heading6">
    <w:name w:val="heading 6"/>
    <w:basedOn w:val="Normal"/>
    <w:next w:val="Normal"/>
    <w:link w:val="Heading6Char"/>
    <w:uiPriority w:val="9"/>
    <w:semiHidden/>
    <w:unhideWhenUsed/>
    <w:qFormat/>
    <w:rsid w:val="00572EBF"/>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eastAsia="zh-CN"/>
      <w14:ligatures w14:val="standardContextual"/>
    </w:rPr>
  </w:style>
  <w:style w:type="paragraph" w:styleId="Heading7">
    <w:name w:val="heading 7"/>
    <w:basedOn w:val="Normal"/>
    <w:next w:val="Normal"/>
    <w:link w:val="Heading7Char"/>
    <w:uiPriority w:val="9"/>
    <w:semiHidden/>
    <w:unhideWhenUsed/>
    <w:qFormat/>
    <w:rsid w:val="00572EBF"/>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eastAsia="zh-CN"/>
      <w14:ligatures w14:val="standardContextual"/>
    </w:rPr>
  </w:style>
  <w:style w:type="paragraph" w:styleId="Heading8">
    <w:name w:val="heading 8"/>
    <w:basedOn w:val="Normal"/>
    <w:next w:val="Normal"/>
    <w:link w:val="Heading8Char"/>
    <w:uiPriority w:val="9"/>
    <w:semiHidden/>
    <w:unhideWhenUsed/>
    <w:qFormat/>
    <w:rsid w:val="00572EBF"/>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eastAsia="zh-CN"/>
      <w14:ligatures w14:val="standardContextual"/>
    </w:rPr>
  </w:style>
  <w:style w:type="paragraph" w:styleId="Heading9">
    <w:name w:val="heading 9"/>
    <w:basedOn w:val="Normal"/>
    <w:next w:val="Normal"/>
    <w:link w:val="Heading9Char"/>
    <w:uiPriority w:val="9"/>
    <w:semiHidden/>
    <w:unhideWhenUsed/>
    <w:qFormat/>
    <w:rsid w:val="00572EBF"/>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2EB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72EB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72EB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72EB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72EB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72E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2E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2E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2EBF"/>
    <w:rPr>
      <w:rFonts w:eastAsiaTheme="majorEastAsia" w:cstheme="majorBidi"/>
      <w:color w:val="272727" w:themeColor="text1" w:themeTint="D8"/>
    </w:rPr>
  </w:style>
  <w:style w:type="paragraph" w:styleId="Title">
    <w:name w:val="Title"/>
    <w:basedOn w:val="Normal"/>
    <w:next w:val="Normal"/>
    <w:link w:val="TitleChar"/>
    <w:uiPriority w:val="10"/>
    <w:qFormat/>
    <w:rsid w:val="00572EBF"/>
    <w:pPr>
      <w:spacing w:after="80" w:line="240" w:lineRule="auto"/>
      <w:contextualSpacing/>
    </w:pPr>
    <w:rPr>
      <w:rFonts w:asciiTheme="majorHAnsi" w:eastAsiaTheme="majorEastAsia" w:hAnsiTheme="majorHAnsi" w:cstheme="majorBidi"/>
      <w:spacing w:val="-10"/>
      <w:kern w:val="28"/>
      <w:sz w:val="56"/>
      <w:szCs w:val="56"/>
      <w:lang w:eastAsia="zh-CN"/>
      <w14:ligatures w14:val="standardContextual"/>
    </w:rPr>
  </w:style>
  <w:style w:type="character" w:customStyle="1" w:styleId="TitleChar">
    <w:name w:val="Title Char"/>
    <w:basedOn w:val="DefaultParagraphFont"/>
    <w:link w:val="Title"/>
    <w:uiPriority w:val="10"/>
    <w:rsid w:val="00572E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2EB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zh-CN"/>
      <w14:ligatures w14:val="standardContextual"/>
    </w:rPr>
  </w:style>
  <w:style w:type="character" w:customStyle="1" w:styleId="SubtitleChar">
    <w:name w:val="Subtitle Char"/>
    <w:basedOn w:val="DefaultParagraphFont"/>
    <w:link w:val="Subtitle"/>
    <w:uiPriority w:val="11"/>
    <w:rsid w:val="00572E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2EBF"/>
    <w:pPr>
      <w:spacing w:before="160" w:after="160" w:line="278" w:lineRule="auto"/>
      <w:jc w:val="center"/>
    </w:pPr>
    <w:rPr>
      <w:rFonts w:asciiTheme="minorHAnsi" w:hAnsiTheme="minorHAnsi"/>
      <w:i/>
      <w:iCs/>
      <w:color w:val="404040" w:themeColor="text1" w:themeTint="BF"/>
      <w:kern w:val="2"/>
      <w:sz w:val="24"/>
      <w:szCs w:val="24"/>
      <w:lang w:eastAsia="zh-CN"/>
      <w14:ligatures w14:val="standardContextual"/>
    </w:rPr>
  </w:style>
  <w:style w:type="character" w:customStyle="1" w:styleId="QuoteChar">
    <w:name w:val="Quote Char"/>
    <w:basedOn w:val="DefaultParagraphFont"/>
    <w:link w:val="Quote"/>
    <w:uiPriority w:val="29"/>
    <w:rsid w:val="00572EBF"/>
    <w:rPr>
      <w:i/>
      <w:iCs/>
      <w:color w:val="404040" w:themeColor="text1" w:themeTint="BF"/>
    </w:rPr>
  </w:style>
  <w:style w:type="paragraph" w:styleId="ListParagraph">
    <w:name w:val="List Paragraph"/>
    <w:basedOn w:val="Normal"/>
    <w:uiPriority w:val="34"/>
    <w:qFormat/>
    <w:rsid w:val="00572EBF"/>
    <w:pPr>
      <w:spacing w:after="160" w:line="278" w:lineRule="auto"/>
      <w:ind w:left="720"/>
      <w:contextualSpacing/>
    </w:pPr>
    <w:rPr>
      <w:rFonts w:asciiTheme="minorHAnsi" w:hAnsiTheme="minorHAnsi"/>
      <w:kern w:val="2"/>
      <w:sz w:val="24"/>
      <w:szCs w:val="24"/>
      <w:lang w:eastAsia="zh-CN"/>
      <w14:ligatures w14:val="standardContextual"/>
    </w:rPr>
  </w:style>
  <w:style w:type="character" w:styleId="IntenseEmphasis">
    <w:name w:val="Intense Emphasis"/>
    <w:basedOn w:val="DefaultParagraphFont"/>
    <w:uiPriority w:val="21"/>
    <w:qFormat/>
    <w:rsid w:val="00572EBF"/>
    <w:rPr>
      <w:i/>
      <w:iCs/>
      <w:color w:val="2F5496" w:themeColor="accent1" w:themeShade="BF"/>
    </w:rPr>
  </w:style>
  <w:style w:type="paragraph" w:styleId="IntenseQuote">
    <w:name w:val="Intense Quote"/>
    <w:basedOn w:val="Normal"/>
    <w:next w:val="Normal"/>
    <w:link w:val="IntenseQuoteChar"/>
    <w:uiPriority w:val="30"/>
    <w:qFormat/>
    <w:rsid w:val="00572EBF"/>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hAnsiTheme="minorHAnsi"/>
      <w:i/>
      <w:iCs/>
      <w:color w:val="2F5496" w:themeColor="accent1" w:themeShade="BF"/>
      <w:kern w:val="2"/>
      <w:sz w:val="24"/>
      <w:szCs w:val="24"/>
      <w:lang w:eastAsia="zh-CN"/>
      <w14:ligatures w14:val="standardContextual"/>
    </w:rPr>
  </w:style>
  <w:style w:type="character" w:customStyle="1" w:styleId="IntenseQuoteChar">
    <w:name w:val="Intense Quote Char"/>
    <w:basedOn w:val="DefaultParagraphFont"/>
    <w:link w:val="IntenseQuote"/>
    <w:uiPriority w:val="30"/>
    <w:rsid w:val="00572EBF"/>
    <w:rPr>
      <w:i/>
      <w:iCs/>
      <w:color w:val="2F5496" w:themeColor="accent1" w:themeShade="BF"/>
    </w:rPr>
  </w:style>
  <w:style w:type="character" w:styleId="IntenseReference">
    <w:name w:val="Intense Reference"/>
    <w:basedOn w:val="DefaultParagraphFont"/>
    <w:uiPriority w:val="32"/>
    <w:qFormat/>
    <w:rsid w:val="00572EBF"/>
    <w:rPr>
      <w:b/>
      <w:bCs/>
      <w:smallCaps/>
      <w:color w:val="2F5496" w:themeColor="accent1" w:themeShade="BF"/>
      <w:spacing w:val="5"/>
    </w:rPr>
  </w:style>
  <w:style w:type="table" w:styleId="TableGrid">
    <w:name w:val="Table Grid"/>
    <w:basedOn w:val="TableNormal"/>
    <w:uiPriority w:val="59"/>
    <w:rsid w:val="00572EBF"/>
    <w:pPr>
      <w:spacing w:after="0" w:line="240" w:lineRule="auto"/>
    </w:pPr>
    <w:rPr>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C01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0181"/>
    <w:rPr>
      <w:rFonts w:ascii="Times New Roman" w:hAnsi="Times New Roman"/>
      <w:kern w:val="0"/>
      <w:sz w:val="26"/>
      <w:szCs w:val="22"/>
      <w:lang w:eastAsia="en-US"/>
      <w14:ligatures w14:val="none"/>
    </w:rPr>
  </w:style>
  <w:style w:type="paragraph" w:styleId="Footer">
    <w:name w:val="footer"/>
    <w:basedOn w:val="Normal"/>
    <w:link w:val="FooterChar"/>
    <w:uiPriority w:val="99"/>
    <w:unhideWhenUsed/>
    <w:rsid w:val="00BC01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0181"/>
    <w:rPr>
      <w:rFonts w:ascii="Times New Roman" w:hAnsi="Times New Roman"/>
      <w:kern w:val="0"/>
      <w:sz w:val="26"/>
      <w:szCs w:val="22"/>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8</Pages>
  <Words>2732</Words>
  <Characters>15578</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2026-07-21T07:27:00Z</dcterms:created>
  <dcterms:modified xsi:type="dcterms:W3CDTF">2026-07-21T08:48:00Z</dcterms:modified>
</cp:coreProperties>
</file>