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80" w:type="dxa"/>
        <w:tblLook w:val="04A0" w:firstRow="1" w:lastRow="0" w:firstColumn="1" w:lastColumn="0" w:noHBand="0" w:noVBand="1"/>
      </w:tblPr>
      <w:tblGrid>
        <w:gridCol w:w="6204"/>
        <w:gridCol w:w="7876"/>
      </w:tblGrid>
      <w:tr w:rsidR="00FD7CB2" w:rsidRPr="005F55C7" w:rsidTr="005F55C7">
        <w:trPr>
          <w:trHeight w:val="1417"/>
        </w:trPr>
        <w:tc>
          <w:tcPr>
            <w:tcW w:w="6204" w:type="dxa"/>
            <w:shd w:val="clear" w:color="auto" w:fill="auto"/>
          </w:tcPr>
          <w:p w:rsidR="00FD7CB2" w:rsidRPr="005F55C7" w:rsidRDefault="00C1727F" w:rsidP="003B0449">
            <w:pPr>
              <w:spacing w:after="0" w:line="320" w:lineRule="exact"/>
              <w:jc w:val="center"/>
              <w:rPr>
                <w:rFonts w:asciiTheme="majorHAnsi" w:eastAsia="Calibri" w:hAnsiTheme="majorHAnsi" w:cstheme="majorHAnsi"/>
                <w:b/>
                <w:sz w:val="28"/>
                <w:szCs w:val="28"/>
                <w:lang w:val="fr-FR"/>
              </w:rPr>
            </w:pPr>
            <w:r w:rsidRPr="005F55C7">
              <w:rPr>
                <w:rFonts w:asciiTheme="majorHAnsi" w:eastAsia="Calibri" w:hAnsiTheme="majorHAnsi" w:cstheme="majorHAnsi"/>
                <w:b/>
                <w:sz w:val="28"/>
                <w:szCs w:val="28"/>
                <w:lang w:val="fr-FR"/>
              </w:rPr>
              <w:t>BỘ CÔNG AN</w:t>
            </w:r>
          </w:p>
          <w:p w:rsidR="008D0CBD" w:rsidRPr="005F55C7" w:rsidRDefault="008D0CBD" w:rsidP="003B0449">
            <w:pPr>
              <w:spacing w:after="0" w:line="320" w:lineRule="exact"/>
              <w:jc w:val="center"/>
              <w:rPr>
                <w:rFonts w:asciiTheme="majorHAnsi" w:eastAsia="Calibri" w:hAnsiTheme="majorHAnsi" w:cstheme="majorHAnsi"/>
                <w:b/>
                <w:sz w:val="28"/>
                <w:szCs w:val="28"/>
                <w:lang w:val="fr-FR"/>
              </w:rPr>
            </w:pPr>
            <w:r w:rsidRPr="005F55C7">
              <w:rPr>
                <w:rFonts w:asciiTheme="majorHAnsi" w:eastAsia="Calibri" w:hAnsiTheme="majorHAnsi" w:cstheme="majorHAnsi"/>
                <w:b/>
                <w:sz w:val="28"/>
                <w:szCs w:val="28"/>
                <w:lang w:val="fr-FR"/>
              </w:rPr>
              <w:t>VIỆN KHOA HỌC HÌNH SỰ</w:t>
            </w:r>
          </w:p>
          <w:p w:rsidR="00FD7CB2" w:rsidRPr="005F55C7" w:rsidRDefault="00FD7CB2" w:rsidP="003B0449">
            <w:pPr>
              <w:spacing w:after="0" w:line="320" w:lineRule="exact"/>
              <w:jc w:val="center"/>
              <w:rPr>
                <w:rFonts w:asciiTheme="majorHAnsi" w:eastAsia="Calibri" w:hAnsiTheme="majorHAnsi" w:cstheme="majorHAnsi"/>
                <w:b/>
                <w:sz w:val="28"/>
                <w:szCs w:val="28"/>
                <w:lang w:val="fr-FR"/>
              </w:rPr>
            </w:pPr>
            <w:r w:rsidRPr="005F55C7">
              <w:rPr>
                <w:rFonts w:asciiTheme="majorHAnsi" w:eastAsia="Calibri" w:hAnsiTheme="majorHAnsi" w:cstheme="majorHAnsi"/>
                <w:b/>
                <w:sz w:val="28"/>
                <w:szCs w:val="28"/>
                <w:lang w:val="fr-FR"/>
              </w:rPr>
              <w:t>–––––</w:t>
            </w:r>
          </w:p>
          <w:p w:rsidR="00FD7CB2" w:rsidRPr="005F55C7" w:rsidRDefault="00AE436E" w:rsidP="00AE436E">
            <w:pPr>
              <w:spacing w:after="0" w:line="320" w:lineRule="exact"/>
              <w:jc w:val="center"/>
              <w:rPr>
                <w:rFonts w:asciiTheme="majorHAnsi" w:eastAsia="Calibri" w:hAnsiTheme="majorHAnsi" w:cstheme="majorHAnsi"/>
                <w:b/>
                <w:sz w:val="28"/>
                <w:szCs w:val="28"/>
                <w:lang w:val="fr-FR"/>
              </w:rPr>
            </w:pPr>
            <w:r w:rsidRPr="005F55C7">
              <w:rPr>
                <w:rFonts w:asciiTheme="majorHAnsi" w:eastAsia="Calibri" w:hAnsiTheme="majorHAnsi" w:cstheme="majorHAnsi"/>
                <w:b/>
                <w:sz w:val="28"/>
                <w:szCs w:val="28"/>
                <w:lang w:val="fr-FR"/>
              </w:rPr>
              <w:softHyphen/>
            </w:r>
            <w:r w:rsidRPr="005F55C7">
              <w:rPr>
                <w:rFonts w:asciiTheme="majorHAnsi" w:eastAsia="Calibri" w:hAnsiTheme="majorHAnsi" w:cstheme="majorHAnsi"/>
                <w:b/>
                <w:sz w:val="28"/>
                <w:szCs w:val="28"/>
                <w:lang w:val="fr-FR"/>
              </w:rPr>
              <w:softHyphen/>
            </w:r>
            <w:r w:rsidRPr="005F55C7">
              <w:rPr>
                <w:rFonts w:asciiTheme="majorHAnsi" w:eastAsia="Calibri" w:hAnsiTheme="majorHAnsi" w:cstheme="majorHAnsi"/>
                <w:b/>
                <w:sz w:val="28"/>
                <w:szCs w:val="28"/>
                <w:lang w:val="fr-FR"/>
              </w:rPr>
              <w:softHyphen/>
            </w:r>
            <w:r w:rsidRPr="005F55C7">
              <w:rPr>
                <w:rFonts w:asciiTheme="majorHAnsi" w:eastAsia="Calibri" w:hAnsiTheme="majorHAnsi" w:cstheme="majorHAnsi"/>
                <w:b/>
                <w:sz w:val="28"/>
                <w:szCs w:val="28"/>
                <w:lang w:val="fr-FR"/>
              </w:rPr>
              <w:softHyphen/>
            </w:r>
            <w:r w:rsidRPr="005F55C7">
              <w:rPr>
                <w:rFonts w:asciiTheme="majorHAnsi" w:eastAsia="Calibri" w:hAnsiTheme="majorHAnsi" w:cstheme="majorHAnsi"/>
                <w:b/>
                <w:sz w:val="28"/>
                <w:szCs w:val="28"/>
                <w:lang w:val="fr-FR"/>
              </w:rPr>
              <w:softHyphen/>
            </w:r>
            <w:r w:rsidRPr="005F55C7">
              <w:rPr>
                <w:rFonts w:asciiTheme="majorHAnsi" w:eastAsia="Calibri" w:hAnsiTheme="majorHAnsi" w:cstheme="majorHAnsi"/>
                <w:b/>
                <w:sz w:val="28"/>
                <w:szCs w:val="28"/>
                <w:lang w:val="fr-FR"/>
              </w:rPr>
              <w:softHyphen/>
            </w:r>
            <w:r w:rsidRPr="005F55C7">
              <w:rPr>
                <w:rFonts w:asciiTheme="majorHAnsi" w:eastAsia="Calibri" w:hAnsiTheme="majorHAnsi" w:cstheme="majorHAnsi"/>
                <w:b/>
                <w:sz w:val="28"/>
                <w:szCs w:val="28"/>
                <w:lang w:val="fr-FR"/>
              </w:rPr>
              <w:softHyphen/>
            </w:r>
            <w:r w:rsidRPr="005F55C7">
              <w:rPr>
                <w:rFonts w:asciiTheme="majorHAnsi" w:eastAsia="Calibri" w:hAnsiTheme="majorHAnsi" w:cstheme="majorHAnsi"/>
                <w:b/>
                <w:sz w:val="28"/>
                <w:szCs w:val="28"/>
                <w:lang w:val="fr-FR"/>
              </w:rPr>
              <w:softHyphen/>
            </w:r>
          </w:p>
        </w:tc>
        <w:tc>
          <w:tcPr>
            <w:tcW w:w="7876" w:type="dxa"/>
            <w:shd w:val="clear" w:color="auto" w:fill="auto"/>
          </w:tcPr>
          <w:p w:rsidR="00FD7CB2" w:rsidRPr="005F55C7" w:rsidRDefault="00FD7CB2" w:rsidP="003B0449">
            <w:pPr>
              <w:spacing w:after="0" w:line="320" w:lineRule="exact"/>
              <w:jc w:val="center"/>
              <w:rPr>
                <w:rFonts w:asciiTheme="majorHAnsi" w:eastAsia="Times New Roman" w:hAnsiTheme="majorHAnsi" w:cstheme="majorHAnsi"/>
                <w:b/>
                <w:bCs/>
                <w:noProof/>
                <w:sz w:val="28"/>
                <w:szCs w:val="28"/>
                <w:lang w:val="fr-FR"/>
              </w:rPr>
            </w:pPr>
            <w:r w:rsidRPr="005F55C7">
              <w:rPr>
                <w:rFonts w:asciiTheme="majorHAnsi" w:eastAsia="Times New Roman" w:hAnsiTheme="majorHAnsi" w:cstheme="majorHAnsi"/>
                <w:b/>
                <w:bCs/>
                <w:noProof/>
                <w:sz w:val="28"/>
                <w:szCs w:val="28"/>
                <w:lang w:val="fr-FR"/>
              </w:rPr>
              <w:t>CỘNG HÒA XÃ HỘI CHỦ NGHĨA VIỆT NAM</w:t>
            </w:r>
            <w:r w:rsidRPr="005F55C7">
              <w:rPr>
                <w:rFonts w:asciiTheme="majorHAnsi" w:eastAsia="Times New Roman" w:hAnsiTheme="majorHAnsi" w:cstheme="majorHAnsi"/>
                <w:b/>
                <w:bCs/>
                <w:noProof/>
                <w:sz w:val="28"/>
                <w:szCs w:val="28"/>
                <w:lang w:val="fr-FR"/>
              </w:rPr>
              <w:br/>
              <w:t>Độc lập - Tự do - Hạnh phúc</w:t>
            </w:r>
          </w:p>
          <w:p w:rsidR="00FD7CB2" w:rsidRPr="005F55C7" w:rsidRDefault="00FD7CB2" w:rsidP="003B0449">
            <w:pPr>
              <w:spacing w:after="0" w:line="320" w:lineRule="exact"/>
              <w:jc w:val="center"/>
              <w:rPr>
                <w:rFonts w:asciiTheme="majorHAnsi" w:eastAsia="Times New Roman" w:hAnsiTheme="majorHAnsi" w:cstheme="majorHAnsi"/>
                <w:b/>
                <w:bCs/>
                <w:noProof/>
                <w:sz w:val="28"/>
                <w:szCs w:val="28"/>
                <w:lang w:val="fr-FR"/>
              </w:rPr>
            </w:pPr>
            <w:r w:rsidRPr="005F55C7">
              <w:rPr>
                <w:rFonts w:asciiTheme="majorHAnsi" w:eastAsia="Times New Roman" w:hAnsiTheme="majorHAnsi" w:cstheme="majorHAnsi"/>
                <w:b/>
                <w:bCs/>
                <w:noProof/>
                <w:sz w:val="28"/>
                <w:szCs w:val="28"/>
                <w:lang w:val="fr-FR"/>
              </w:rPr>
              <w:t>–––––––––––––––––––––––</w:t>
            </w:r>
          </w:p>
          <w:p w:rsidR="00FD7CB2" w:rsidRPr="005F55C7" w:rsidRDefault="008D0CBD" w:rsidP="00885270">
            <w:pPr>
              <w:spacing w:after="0" w:line="320" w:lineRule="exact"/>
              <w:jc w:val="center"/>
              <w:rPr>
                <w:rFonts w:asciiTheme="majorHAnsi" w:eastAsia="Calibri" w:hAnsiTheme="majorHAnsi" w:cstheme="majorHAnsi"/>
                <w:b/>
                <w:sz w:val="28"/>
                <w:szCs w:val="28"/>
                <w:lang w:val="fr-FR"/>
              </w:rPr>
            </w:pPr>
            <w:r w:rsidRPr="005F55C7">
              <w:rPr>
                <w:rFonts w:asciiTheme="majorHAnsi" w:eastAsia="Times New Roman" w:hAnsiTheme="majorHAnsi" w:cstheme="majorHAnsi"/>
                <w:i/>
                <w:iCs/>
                <w:noProof/>
                <w:sz w:val="28"/>
                <w:szCs w:val="28"/>
                <w:lang w:val="fr-FR"/>
              </w:rPr>
              <w:t xml:space="preserve">Hà Nội, ngày </w:t>
            </w:r>
            <w:r w:rsidR="00885270" w:rsidRPr="005F55C7">
              <w:rPr>
                <w:rFonts w:asciiTheme="majorHAnsi" w:eastAsia="Times New Roman" w:hAnsiTheme="majorHAnsi" w:cstheme="majorHAnsi"/>
                <w:i/>
                <w:iCs/>
                <w:noProof/>
                <w:sz w:val="28"/>
                <w:szCs w:val="28"/>
                <w:lang w:val="fr-FR"/>
              </w:rPr>
              <w:t xml:space="preserve">   </w:t>
            </w:r>
            <w:r w:rsidR="00AE3FD1" w:rsidRPr="005F55C7">
              <w:rPr>
                <w:rFonts w:asciiTheme="majorHAnsi" w:eastAsia="Times New Roman" w:hAnsiTheme="majorHAnsi" w:cstheme="majorHAnsi"/>
                <w:i/>
                <w:iCs/>
                <w:noProof/>
                <w:sz w:val="28"/>
                <w:szCs w:val="28"/>
                <w:lang w:val="fr-FR"/>
              </w:rPr>
              <w:t xml:space="preserve"> </w:t>
            </w:r>
            <w:r w:rsidR="00FD7CB2" w:rsidRPr="005F55C7">
              <w:rPr>
                <w:rFonts w:asciiTheme="majorHAnsi" w:eastAsia="Times New Roman" w:hAnsiTheme="majorHAnsi" w:cstheme="majorHAnsi"/>
                <w:i/>
                <w:iCs/>
                <w:noProof/>
                <w:sz w:val="28"/>
                <w:szCs w:val="28"/>
                <w:lang w:val="fr-FR"/>
              </w:rPr>
              <w:t xml:space="preserve"> tháng </w:t>
            </w:r>
            <w:r w:rsidR="00885270" w:rsidRPr="005F55C7">
              <w:rPr>
                <w:rFonts w:asciiTheme="majorHAnsi" w:eastAsia="Times New Roman" w:hAnsiTheme="majorHAnsi" w:cstheme="majorHAnsi"/>
                <w:i/>
                <w:iCs/>
                <w:noProof/>
                <w:sz w:val="28"/>
                <w:szCs w:val="28"/>
                <w:lang w:val="fr-FR"/>
              </w:rPr>
              <w:t>7</w:t>
            </w:r>
            <w:r w:rsidR="00FF1EC2" w:rsidRPr="005F55C7">
              <w:rPr>
                <w:rFonts w:asciiTheme="majorHAnsi" w:eastAsia="Times New Roman" w:hAnsiTheme="majorHAnsi" w:cstheme="majorHAnsi"/>
                <w:i/>
                <w:iCs/>
                <w:noProof/>
                <w:sz w:val="28"/>
                <w:szCs w:val="28"/>
                <w:lang w:val="fr-FR"/>
              </w:rPr>
              <w:t xml:space="preserve"> </w:t>
            </w:r>
            <w:r w:rsidR="00FD7CB2" w:rsidRPr="005F55C7">
              <w:rPr>
                <w:rFonts w:asciiTheme="majorHAnsi" w:eastAsia="Times New Roman" w:hAnsiTheme="majorHAnsi" w:cstheme="majorHAnsi"/>
                <w:i/>
                <w:iCs/>
                <w:noProof/>
                <w:sz w:val="28"/>
                <w:szCs w:val="28"/>
                <w:lang w:val="fr-FR"/>
              </w:rPr>
              <w:t>năm 202</w:t>
            </w:r>
            <w:r w:rsidR="00AE3FD1" w:rsidRPr="005F55C7">
              <w:rPr>
                <w:rFonts w:asciiTheme="majorHAnsi" w:eastAsia="Times New Roman" w:hAnsiTheme="majorHAnsi" w:cstheme="majorHAnsi"/>
                <w:i/>
                <w:iCs/>
                <w:noProof/>
                <w:sz w:val="28"/>
                <w:szCs w:val="28"/>
                <w:lang w:val="fr-FR"/>
              </w:rPr>
              <w:t>6</w:t>
            </w:r>
          </w:p>
        </w:tc>
      </w:tr>
    </w:tbl>
    <w:p w:rsidR="001B5A20" w:rsidRPr="005F55C7" w:rsidRDefault="00092227" w:rsidP="003B0449">
      <w:pPr>
        <w:widowControl w:val="0"/>
        <w:spacing w:after="0" w:line="320" w:lineRule="exact"/>
        <w:jc w:val="center"/>
        <w:rPr>
          <w:rFonts w:asciiTheme="majorHAnsi" w:hAnsiTheme="majorHAnsi" w:cstheme="majorHAnsi"/>
          <w:b/>
          <w:sz w:val="28"/>
          <w:szCs w:val="28"/>
          <w:lang w:val="fr-FR"/>
        </w:rPr>
      </w:pPr>
      <w:r w:rsidRPr="005F55C7">
        <w:rPr>
          <w:rFonts w:asciiTheme="majorHAnsi" w:hAnsiTheme="majorHAnsi" w:cstheme="majorHAnsi"/>
          <w:b/>
          <w:sz w:val="28"/>
          <w:szCs w:val="28"/>
          <w:lang w:val="fr-FR"/>
        </w:rPr>
        <w:t xml:space="preserve">Bảng tổng hợp </w:t>
      </w:r>
      <w:r w:rsidR="001B5A20" w:rsidRPr="005F55C7">
        <w:rPr>
          <w:rFonts w:asciiTheme="majorHAnsi" w:hAnsiTheme="majorHAnsi" w:cstheme="majorHAnsi"/>
          <w:b/>
          <w:sz w:val="28"/>
          <w:szCs w:val="28"/>
          <w:lang w:val="fr-FR"/>
        </w:rPr>
        <w:t>r</w:t>
      </w:r>
      <w:r w:rsidR="00E20981" w:rsidRPr="005F55C7">
        <w:rPr>
          <w:rFonts w:asciiTheme="majorHAnsi" w:hAnsiTheme="majorHAnsi" w:cstheme="majorHAnsi"/>
          <w:b/>
          <w:sz w:val="28"/>
          <w:szCs w:val="28"/>
        </w:rPr>
        <w:t>à soát các chủ trương, đường lối của Đảng, văn bản quy phạm pháp luật</w:t>
      </w:r>
    </w:p>
    <w:p w:rsidR="001B5A20" w:rsidRPr="005F55C7" w:rsidRDefault="00E20981" w:rsidP="003B0449">
      <w:pPr>
        <w:widowControl w:val="0"/>
        <w:spacing w:after="0" w:line="320" w:lineRule="exact"/>
        <w:jc w:val="center"/>
        <w:rPr>
          <w:rFonts w:asciiTheme="majorHAnsi" w:hAnsiTheme="majorHAnsi" w:cstheme="majorHAnsi"/>
          <w:b/>
          <w:sz w:val="28"/>
          <w:szCs w:val="28"/>
          <w:lang w:val="fr-FR"/>
        </w:rPr>
      </w:pPr>
      <w:r w:rsidRPr="005F55C7">
        <w:rPr>
          <w:rFonts w:asciiTheme="majorHAnsi" w:hAnsiTheme="majorHAnsi" w:cstheme="majorHAnsi"/>
          <w:b/>
          <w:sz w:val="28"/>
          <w:szCs w:val="28"/>
        </w:rPr>
        <w:t xml:space="preserve">có liên quan đến </w:t>
      </w:r>
      <w:r w:rsidR="0082009A" w:rsidRPr="005F55C7">
        <w:rPr>
          <w:rFonts w:asciiTheme="majorHAnsi" w:hAnsiTheme="majorHAnsi" w:cstheme="majorHAnsi"/>
          <w:b/>
          <w:sz w:val="28"/>
          <w:szCs w:val="28"/>
          <w:lang w:val="fr-FR"/>
        </w:rPr>
        <w:t>dự thảo</w:t>
      </w:r>
      <w:r w:rsidRPr="005F55C7">
        <w:rPr>
          <w:rFonts w:asciiTheme="majorHAnsi" w:hAnsiTheme="majorHAnsi" w:cstheme="majorHAnsi"/>
          <w:b/>
          <w:sz w:val="28"/>
          <w:szCs w:val="28"/>
        </w:rPr>
        <w:t xml:space="preserve"> </w:t>
      </w:r>
      <w:r w:rsidR="00C1727F" w:rsidRPr="005F55C7">
        <w:rPr>
          <w:rFonts w:asciiTheme="majorHAnsi" w:hAnsiTheme="majorHAnsi" w:cstheme="majorHAnsi"/>
          <w:b/>
          <w:sz w:val="28"/>
          <w:szCs w:val="28"/>
          <w:lang w:val="fr-FR"/>
        </w:rPr>
        <w:t>Thông tư của Bộ trưởng Bộ Công an</w:t>
      </w:r>
      <w:r w:rsidR="00885270" w:rsidRPr="005F55C7">
        <w:rPr>
          <w:rFonts w:asciiTheme="majorHAnsi" w:hAnsiTheme="majorHAnsi" w:cstheme="majorHAnsi"/>
          <w:b/>
          <w:sz w:val="28"/>
          <w:szCs w:val="28"/>
          <w:lang w:val="fr-FR"/>
        </w:rPr>
        <w:t xml:space="preserve"> ban hành 31 quy trình giám định kỹ thuật hình sự</w:t>
      </w:r>
    </w:p>
    <w:p w:rsidR="00556529" w:rsidRPr="005F55C7" w:rsidRDefault="00556529" w:rsidP="003B0449">
      <w:pPr>
        <w:widowControl w:val="0"/>
        <w:spacing w:after="0" w:line="320" w:lineRule="exact"/>
        <w:jc w:val="center"/>
        <w:rPr>
          <w:rFonts w:asciiTheme="majorHAnsi" w:hAnsiTheme="majorHAnsi" w:cstheme="majorHAnsi"/>
          <w:b/>
          <w:sz w:val="28"/>
          <w:szCs w:val="28"/>
          <w:lang w:val="fr-FR"/>
        </w:rPr>
      </w:pPr>
      <w:r w:rsidRPr="005F55C7">
        <w:rPr>
          <w:rFonts w:asciiTheme="majorHAnsi" w:hAnsiTheme="majorHAnsi" w:cstheme="majorHAnsi"/>
          <w:b/>
          <w:noProof/>
          <w:sz w:val="28"/>
          <w:szCs w:val="28"/>
          <w:lang w:eastAsia="vi-VN"/>
        </w:rPr>
        <mc:AlternateContent>
          <mc:Choice Requires="wps">
            <w:drawing>
              <wp:anchor distT="0" distB="0" distL="114300" distR="114300" simplePos="0" relativeHeight="251658752" behindDoc="0" locked="0" layoutInCell="1" allowOverlap="1" wp14:anchorId="37DDAE87" wp14:editId="4E7D4770">
                <wp:simplePos x="0" y="0"/>
                <wp:positionH relativeFrom="column">
                  <wp:posOffset>3474720</wp:posOffset>
                </wp:positionH>
                <wp:positionV relativeFrom="paragraph">
                  <wp:posOffset>77662</wp:posOffset>
                </wp:positionV>
                <wp:extent cx="2240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240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81EC4F" id="Straight Connector 1"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6pt,6.1pt" to="450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" strokecolor="#4579b8 [3044]"/>
            </w:pict>
          </mc:Fallback>
        </mc:AlternateContent>
      </w:r>
    </w:p>
    <w:p w:rsidR="00FD7CB2" w:rsidRPr="005F55C7" w:rsidRDefault="00556529" w:rsidP="006E7A95">
      <w:pPr>
        <w:widowControl w:val="0"/>
        <w:spacing w:after="120" w:line="240" w:lineRule="auto"/>
        <w:jc w:val="both"/>
        <w:rPr>
          <w:rFonts w:asciiTheme="majorHAnsi" w:hAnsiTheme="majorHAnsi" w:cstheme="majorHAnsi"/>
          <w:b/>
          <w:sz w:val="28"/>
          <w:szCs w:val="28"/>
          <w:lang w:val="fr-FR"/>
        </w:rPr>
      </w:pPr>
      <w:r w:rsidRPr="005F55C7">
        <w:rPr>
          <w:rFonts w:asciiTheme="majorHAnsi" w:hAnsiTheme="majorHAnsi" w:cstheme="majorHAnsi"/>
          <w:b/>
          <w:sz w:val="28"/>
          <w:szCs w:val="28"/>
          <w:lang w:val="fr-FR"/>
        </w:rPr>
        <w:t>1. Chủ trương, đường lối của Đảng</w:t>
      </w:r>
    </w:p>
    <w:tbl>
      <w:tblPr>
        <w:tblStyle w:val="TableGrid"/>
        <w:tblW w:w="14601" w:type="dxa"/>
        <w:tblInd w:w="-34" w:type="dxa"/>
        <w:tblLook w:val="04A0" w:firstRow="1" w:lastRow="0" w:firstColumn="1" w:lastColumn="0" w:noHBand="0" w:noVBand="1"/>
      </w:tblPr>
      <w:tblGrid>
        <w:gridCol w:w="590"/>
        <w:gridCol w:w="5506"/>
        <w:gridCol w:w="5814"/>
        <w:gridCol w:w="1700"/>
        <w:gridCol w:w="991"/>
      </w:tblGrid>
      <w:tr w:rsidR="005E267D" w:rsidRPr="005F55C7" w:rsidTr="006E7A95">
        <w:trPr>
          <w:trHeight w:val="652"/>
          <w:tblHeader/>
        </w:trPr>
        <w:tc>
          <w:tcPr>
            <w:tcW w:w="590" w:type="dxa"/>
          </w:tcPr>
          <w:p w:rsidR="00B3539C" w:rsidRPr="005F55C7" w:rsidRDefault="005410E5" w:rsidP="006E7A95">
            <w:pPr>
              <w:spacing w:after="120"/>
              <w:jc w:val="center"/>
              <w:rPr>
                <w:rFonts w:asciiTheme="majorHAnsi" w:hAnsiTheme="majorHAnsi" w:cstheme="majorHAnsi"/>
                <w:b/>
                <w:sz w:val="28"/>
                <w:szCs w:val="28"/>
                <w:lang w:val="en-US"/>
              </w:rPr>
            </w:pPr>
            <w:r w:rsidRPr="005F55C7">
              <w:rPr>
                <w:rFonts w:asciiTheme="majorHAnsi" w:hAnsiTheme="majorHAnsi" w:cstheme="majorHAnsi"/>
                <w:b/>
                <w:sz w:val="28"/>
                <w:szCs w:val="28"/>
                <w:lang w:val="en-US"/>
              </w:rPr>
              <w:t>TT</w:t>
            </w:r>
          </w:p>
        </w:tc>
        <w:tc>
          <w:tcPr>
            <w:tcW w:w="5506" w:type="dxa"/>
          </w:tcPr>
          <w:p w:rsidR="00B3539C" w:rsidRPr="005F55C7" w:rsidRDefault="009D5917" w:rsidP="006E7A95">
            <w:pPr>
              <w:spacing w:after="120"/>
              <w:jc w:val="center"/>
              <w:rPr>
                <w:rFonts w:asciiTheme="majorHAnsi" w:hAnsiTheme="majorHAnsi" w:cstheme="majorHAnsi"/>
                <w:b/>
                <w:sz w:val="28"/>
                <w:szCs w:val="28"/>
                <w:lang w:val="en-US"/>
              </w:rPr>
            </w:pPr>
            <w:r w:rsidRPr="005F55C7">
              <w:rPr>
                <w:rFonts w:asciiTheme="majorHAnsi" w:hAnsiTheme="majorHAnsi" w:cstheme="majorHAnsi"/>
                <w:b/>
                <w:sz w:val="28"/>
                <w:szCs w:val="28"/>
                <w:lang w:val="en-US"/>
              </w:rPr>
              <w:t>Quy định tại dự thảo</w:t>
            </w:r>
          </w:p>
        </w:tc>
        <w:tc>
          <w:tcPr>
            <w:tcW w:w="5814" w:type="dxa"/>
          </w:tcPr>
          <w:p w:rsidR="00B3539C" w:rsidRPr="005F55C7" w:rsidRDefault="009D5917" w:rsidP="006E7A95">
            <w:pPr>
              <w:spacing w:after="120"/>
              <w:jc w:val="center"/>
              <w:rPr>
                <w:rFonts w:asciiTheme="majorHAnsi" w:hAnsiTheme="majorHAnsi" w:cstheme="majorHAnsi"/>
                <w:b/>
                <w:sz w:val="28"/>
                <w:szCs w:val="28"/>
                <w:lang w:val="en-US"/>
              </w:rPr>
            </w:pPr>
            <w:r w:rsidRPr="005F55C7">
              <w:rPr>
                <w:rFonts w:asciiTheme="majorHAnsi" w:hAnsiTheme="majorHAnsi" w:cstheme="majorHAnsi"/>
                <w:b/>
                <w:sz w:val="28"/>
                <w:szCs w:val="28"/>
                <w:lang w:val="en-US"/>
              </w:rPr>
              <w:t>Chủ trương, đường lối của Đảng</w:t>
            </w:r>
          </w:p>
        </w:tc>
        <w:tc>
          <w:tcPr>
            <w:tcW w:w="1700" w:type="dxa"/>
          </w:tcPr>
          <w:p w:rsidR="00B3539C" w:rsidRPr="005F55C7" w:rsidRDefault="009D5917" w:rsidP="006E7A95">
            <w:pPr>
              <w:spacing w:after="120"/>
              <w:jc w:val="center"/>
              <w:rPr>
                <w:rFonts w:asciiTheme="majorHAnsi" w:hAnsiTheme="majorHAnsi" w:cstheme="majorHAnsi"/>
                <w:b/>
                <w:sz w:val="28"/>
                <w:szCs w:val="28"/>
                <w:lang w:val="en-US"/>
              </w:rPr>
            </w:pPr>
            <w:r w:rsidRPr="005F55C7">
              <w:rPr>
                <w:rFonts w:asciiTheme="majorHAnsi" w:hAnsiTheme="majorHAnsi" w:cstheme="majorHAnsi"/>
                <w:b/>
                <w:sz w:val="28"/>
                <w:szCs w:val="28"/>
                <w:lang w:val="en-US"/>
              </w:rPr>
              <w:t>Đánh giá</w:t>
            </w:r>
          </w:p>
          <w:p w:rsidR="00B3539C" w:rsidRPr="005F55C7" w:rsidRDefault="00B3539C" w:rsidP="006E7A95">
            <w:pPr>
              <w:spacing w:after="120"/>
              <w:jc w:val="center"/>
              <w:rPr>
                <w:rFonts w:asciiTheme="majorHAnsi" w:hAnsiTheme="majorHAnsi" w:cstheme="majorHAnsi"/>
                <w:b/>
                <w:sz w:val="28"/>
                <w:szCs w:val="28"/>
              </w:rPr>
            </w:pPr>
          </w:p>
        </w:tc>
        <w:tc>
          <w:tcPr>
            <w:tcW w:w="991" w:type="dxa"/>
          </w:tcPr>
          <w:p w:rsidR="00B3539C" w:rsidRPr="005F55C7" w:rsidRDefault="009D5917" w:rsidP="006E7A95">
            <w:pPr>
              <w:spacing w:after="120"/>
              <w:jc w:val="center"/>
              <w:rPr>
                <w:rFonts w:asciiTheme="majorHAnsi" w:hAnsiTheme="majorHAnsi" w:cstheme="majorHAnsi"/>
                <w:b/>
                <w:sz w:val="28"/>
                <w:szCs w:val="28"/>
              </w:rPr>
            </w:pPr>
            <w:r w:rsidRPr="005F55C7">
              <w:rPr>
                <w:rFonts w:asciiTheme="majorHAnsi" w:hAnsiTheme="majorHAnsi" w:cstheme="majorHAnsi"/>
                <w:b/>
                <w:sz w:val="28"/>
                <w:szCs w:val="28"/>
                <w:lang w:val="en-US"/>
              </w:rPr>
              <w:t>Đề xuất xử lý</w:t>
            </w:r>
          </w:p>
        </w:tc>
      </w:tr>
      <w:tr w:rsidR="005E267D" w:rsidRPr="005F55C7" w:rsidTr="006E7A95">
        <w:trPr>
          <w:trHeight w:val="319"/>
        </w:trPr>
        <w:tc>
          <w:tcPr>
            <w:tcW w:w="590" w:type="dxa"/>
          </w:tcPr>
          <w:p w:rsidR="00E86CBE" w:rsidRPr="005F55C7" w:rsidRDefault="00E86CBE" w:rsidP="006E7A95">
            <w:pPr>
              <w:spacing w:after="120"/>
              <w:jc w:val="both"/>
              <w:rPr>
                <w:rFonts w:asciiTheme="majorHAnsi" w:hAnsiTheme="majorHAnsi" w:cstheme="majorHAnsi"/>
                <w:b/>
                <w:sz w:val="28"/>
                <w:szCs w:val="28"/>
              </w:rPr>
            </w:pPr>
            <w:r w:rsidRPr="005F55C7">
              <w:rPr>
                <w:rFonts w:asciiTheme="majorHAnsi" w:hAnsiTheme="majorHAnsi" w:cstheme="majorHAnsi"/>
                <w:b/>
                <w:sz w:val="28"/>
                <w:szCs w:val="28"/>
                <w:lang w:val="de-DE"/>
              </w:rPr>
              <w:t>1</w:t>
            </w:r>
          </w:p>
        </w:tc>
        <w:tc>
          <w:tcPr>
            <w:tcW w:w="14011" w:type="dxa"/>
            <w:gridSpan w:val="4"/>
          </w:tcPr>
          <w:p w:rsidR="00E86CBE" w:rsidRPr="005F55C7" w:rsidRDefault="00E86CBE" w:rsidP="006E7A95">
            <w:pPr>
              <w:spacing w:after="120"/>
              <w:jc w:val="both"/>
              <w:rPr>
                <w:rFonts w:asciiTheme="majorHAnsi" w:hAnsiTheme="majorHAnsi" w:cstheme="majorHAnsi"/>
                <w:b/>
                <w:sz w:val="28"/>
                <w:szCs w:val="28"/>
                <w:lang w:val="en-US"/>
              </w:rPr>
            </w:pPr>
            <w:r w:rsidRPr="005F55C7">
              <w:rPr>
                <w:rFonts w:asciiTheme="majorHAnsi" w:hAnsiTheme="majorHAnsi" w:cstheme="majorHAnsi"/>
                <w:b/>
                <w:sz w:val="28"/>
                <w:szCs w:val="28"/>
                <w:lang w:val="de-DE"/>
              </w:rPr>
              <w:t>Q</w:t>
            </w:r>
            <w:r w:rsidRPr="005F55C7">
              <w:rPr>
                <w:rFonts w:asciiTheme="majorHAnsi" w:hAnsiTheme="majorHAnsi" w:cstheme="majorHAnsi"/>
                <w:b/>
                <w:sz w:val="28"/>
                <w:szCs w:val="28"/>
              </w:rPr>
              <w:t xml:space="preserve">uy định về </w:t>
            </w:r>
            <w:r w:rsidR="004C0761" w:rsidRPr="005F55C7">
              <w:rPr>
                <w:rFonts w:asciiTheme="majorHAnsi" w:hAnsiTheme="majorHAnsi" w:cstheme="majorHAnsi"/>
                <w:b/>
                <w:sz w:val="28"/>
                <w:szCs w:val="28"/>
                <w:lang w:val="en-US"/>
              </w:rPr>
              <w:t>trình tự, thủ tục tiếp nhận, thực hiện giám định tư pháp</w:t>
            </w:r>
          </w:p>
        </w:tc>
      </w:tr>
      <w:tr w:rsidR="00DF5A25" w:rsidRPr="005F55C7" w:rsidTr="006E7A95">
        <w:trPr>
          <w:trHeight w:val="374"/>
        </w:trPr>
        <w:tc>
          <w:tcPr>
            <w:tcW w:w="590" w:type="dxa"/>
          </w:tcPr>
          <w:p w:rsidR="00DF5A25" w:rsidRPr="005F55C7" w:rsidRDefault="00DF5A25" w:rsidP="006E7A95">
            <w:pPr>
              <w:spacing w:after="120"/>
              <w:jc w:val="both"/>
              <w:rPr>
                <w:rFonts w:asciiTheme="majorHAnsi" w:hAnsiTheme="majorHAnsi" w:cstheme="majorHAnsi"/>
                <w:sz w:val="28"/>
                <w:szCs w:val="28"/>
                <w:lang w:val="de-DE"/>
              </w:rPr>
            </w:pPr>
          </w:p>
        </w:tc>
        <w:tc>
          <w:tcPr>
            <w:tcW w:w="5506" w:type="dxa"/>
          </w:tcPr>
          <w:p w:rsidR="008520C7" w:rsidRPr="005F55C7" w:rsidRDefault="00212BE3"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31 q</w:t>
            </w:r>
            <w:r w:rsidR="00D820DE" w:rsidRPr="005F55C7">
              <w:rPr>
                <w:rFonts w:asciiTheme="majorHAnsi" w:eastAsia="Times New Roman" w:hAnsiTheme="majorHAnsi" w:cstheme="majorHAnsi"/>
                <w:sz w:val="28"/>
                <w:szCs w:val="28"/>
                <w:lang w:val="en-US"/>
              </w:rPr>
              <w:t xml:space="preserve">uy trình </w:t>
            </w:r>
            <w:r w:rsidRPr="005F55C7">
              <w:rPr>
                <w:rFonts w:asciiTheme="majorHAnsi" w:eastAsia="Times New Roman" w:hAnsiTheme="majorHAnsi" w:cstheme="majorHAnsi"/>
                <w:sz w:val="28"/>
                <w:szCs w:val="28"/>
                <w:lang w:val="en-US"/>
              </w:rPr>
              <w:t xml:space="preserve">giám định ban hành </w:t>
            </w:r>
            <w:r w:rsidR="00D820DE" w:rsidRPr="005F55C7">
              <w:rPr>
                <w:rFonts w:asciiTheme="majorHAnsi" w:eastAsia="Times New Roman" w:hAnsiTheme="majorHAnsi" w:cstheme="majorHAnsi"/>
                <w:sz w:val="28"/>
                <w:szCs w:val="28"/>
                <w:lang w:val="en-US"/>
              </w:rPr>
              <w:t xml:space="preserve">kèm theo Thông tư </w:t>
            </w:r>
            <w:r w:rsidR="003C587F" w:rsidRPr="005F55C7">
              <w:rPr>
                <w:rFonts w:asciiTheme="majorHAnsi" w:eastAsia="Times New Roman" w:hAnsiTheme="majorHAnsi" w:cstheme="majorHAnsi"/>
                <w:sz w:val="28"/>
                <w:szCs w:val="28"/>
                <w:lang w:val="en-US"/>
              </w:rPr>
              <w:t>quy định:</w:t>
            </w:r>
          </w:p>
          <w:p w:rsidR="003C587F" w:rsidRPr="005F55C7" w:rsidRDefault="003C587F"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xml:space="preserve">- </w:t>
            </w:r>
            <w:r w:rsidR="001D5A30" w:rsidRPr="005F55C7">
              <w:rPr>
                <w:rFonts w:asciiTheme="majorHAnsi" w:eastAsia="Times New Roman" w:hAnsiTheme="majorHAnsi" w:cstheme="majorHAnsi"/>
                <w:sz w:val="28"/>
                <w:szCs w:val="28"/>
                <w:lang w:val="en-US"/>
              </w:rPr>
              <w:t>Bước 1</w:t>
            </w:r>
            <w:r w:rsidRPr="005F55C7">
              <w:rPr>
                <w:rFonts w:asciiTheme="majorHAnsi" w:eastAsia="Times New Roman" w:hAnsiTheme="majorHAnsi" w:cstheme="majorHAnsi"/>
                <w:sz w:val="28"/>
                <w:szCs w:val="28"/>
                <w:lang w:val="en-US"/>
              </w:rPr>
              <w:t>. Tiếp nhận trưng cầu, yêu cầu giám định và đối tượng giám định</w:t>
            </w:r>
          </w:p>
          <w:p w:rsidR="003C587F" w:rsidRPr="005F55C7" w:rsidRDefault="003C587F"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xml:space="preserve">- </w:t>
            </w:r>
            <w:r w:rsidR="001D5A30" w:rsidRPr="005F55C7">
              <w:rPr>
                <w:rFonts w:asciiTheme="majorHAnsi" w:eastAsia="Times New Roman" w:hAnsiTheme="majorHAnsi" w:cstheme="majorHAnsi"/>
                <w:sz w:val="28"/>
                <w:szCs w:val="28"/>
                <w:lang w:val="en-US"/>
              </w:rPr>
              <w:t>Bước 2.</w:t>
            </w:r>
            <w:r w:rsidRPr="005F55C7">
              <w:rPr>
                <w:rFonts w:asciiTheme="majorHAnsi" w:eastAsia="Times New Roman" w:hAnsiTheme="majorHAnsi" w:cstheme="majorHAnsi"/>
                <w:sz w:val="28"/>
                <w:szCs w:val="28"/>
                <w:lang w:val="en-US"/>
              </w:rPr>
              <w:t xml:space="preserve"> Chuẩn bị giám định</w:t>
            </w:r>
          </w:p>
          <w:p w:rsidR="003C587F" w:rsidRPr="005F55C7" w:rsidRDefault="003C587F"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xml:space="preserve">- </w:t>
            </w:r>
            <w:r w:rsidR="001D5A30" w:rsidRPr="005F55C7">
              <w:rPr>
                <w:rFonts w:asciiTheme="majorHAnsi" w:eastAsia="Times New Roman" w:hAnsiTheme="majorHAnsi" w:cstheme="majorHAnsi"/>
                <w:sz w:val="28"/>
                <w:szCs w:val="28"/>
                <w:lang w:val="en-US"/>
              </w:rPr>
              <w:t>Bước 3.</w:t>
            </w:r>
            <w:r w:rsidRPr="005F55C7">
              <w:rPr>
                <w:rFonts w:asciiTheme="majorHAnsi" w:eastAsia="Times New Roman" w:hAnsiTheme="majorHAnsi" w:cstheme="majorHAnsi"/>
                <w:sz w:val="28"/>
                <w:szCs w:val="28"/>
                <w:lang w:val="en-US"/>
              </w:rPr>
              <w:t xml:space="preserve"> </w:t>
            </w:r>
            <w:r w:rsidR="001D5A30" w:rsidRPr="005F55C7">
              <w:rPr>
                <w:rFonts w:asciiTheme="majorHAnsi" w:eastAsia="Times New Roman" w:hAnsiTheme="majorHAnsi" w:cstheme="majorHAnsi"/>
                <w:sz w:val="28"/>
                <w:szCs w:val="28"/>
                <w:lang w:val="en-US"/>
              </w:rPr>
              <w:t>Giám định tách biệt</w:t>
            </w:r>
          </w:p>
          <w:p w:rsidR="001D5A30" w:rsidRPr="005F55C7" w:rsidRDefault="003C587F"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xml:space="preserve">- </w:t>
            </w:r>
            <w:r w:rsidR="001D5A30" w:rsidRPr="005F55C7">
              <w:rPr>
                <w:rFonts w:asciiTheme="majorHAnsi" w:eastAsia="Times New Roman" w:hAnsiTheme="majorHAnsi" w:cstheme="majorHAnsi"/>
                <w:sz w:val="28"/>
                <w:szCs w:val="28"/>
                <w:lang w:val="en-US"/>
              </w:rPr>
              <w:t>Bước 4. Giám định so sánh</w:t>
            </w:r>
          </w:p>
          <w:p w:rsidR="001D5A30" w:rsidRPr="005F55C7" w:rsidRDefault="001D5A30"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5. Đánh giá, kết luận</w:t>
            </w:r>
          </w:p>
          <w:p w:rsidR="001D5A30" w:rsidRPr="005F55C7" w:rsidRDefault="001D5A30"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6. Xây dựng hồ sơ giám định</w:t>
            </w:r>
          </w:p>
          <w:p w:rsidR="001D5A30" w:rsidRPr="005F55C7" w:rsidRDefault="001D5A30"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7. Hoàn thành quá trình giám định</w:t>
            </w:r>
          </w:p>
          <w:p w:rsidR="00667E68" w:rsidRPr="005F55C7" w:rsidRDefault="001D5A30"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xml:space="preserve">- Bước 8. </w:t>
            </w:r>
            <w:r w:rsidR="00667E68" w:rsidRPr="005F55C7">
              <w:rPr>
                <w:rFonts w:asciiTheme="majorHAnsi" w:eastAsia="Times New Roman" w:hAnsiTheme="majorHAnsi" w:cstheme="majorHAnsi"/>
                <w:sz w:val="28"/>
                <w:szCs w:val="28"/>
                <w:lang w:val="en-US"/>
              </w:rPr>
              <w:t>Trả kết luận giám định và đối tượng giám định</w:t>
            </w:r>
          </w:p>
          <w:p w:rsidR="003C587F" w:rsidRPr="005F55C7" w:rsidRDefault="00667E6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lastRenderedPageBreak/>
              <w:t>- Bước 9. Lưu hồ sơ giám định</w:t>
            </w:r>
            <w:r w:rsidR="003C587F" w:rsidRPr="005F55C7">
              <w:rPr>
                <w:rFonts w:asciiTheme="majorHAnsi" w:eastAsia="Times New Roman" w:hAnsiTheme="majorHAnsi" w:cstheme="majorHAnsi"/>
                <w:sz w:val="28"/>
                <w:szCs w:val="28"/>
                <w:lang w:val="en-US"/>
              </w:rPr>
              <w:t xml:space="preserve"> </w:t>
            </w:r>
          </w:p>
        </w:tc>
        <w:tc>
          <w:tcPr>
            <w:tcW w:w="5814" w:type="dxa"/>
          </w:tcPr>
          <w:p w:rsidR="0084307C" w:rsidRPr="005F55C7" w:rsidRDefault="00C95764" w:rsidP="006E7A95">
            <w:pPr>
              <w:spacing w:after="120"/>
              <w:jc w:val="both"/>
              <w:rPr>
                <w:rFonts w:asciiTheme="majorHAnsi" w:hAnsiTheme="majorHAnsi" w:cstheme="majorHAnsi"/>
                <w:sz w:val="28"/>
                <w:szCs w:val="28"/>
                <w:lang w:val="es-ES_tradnl"/>
              </w:rPr>
            </w:pPr>
            <w:r w:rsidRPr="005F55C7">
              <w:rPr>
                <w:rFonts w:asciiTheme="majorHAnsi" w:hAnsiTheme="majorHAnsi" w:cstheme="majorHAnsi"/>
                <w:bCs/>
                <w:iCs/>
                <w:sz w:val="28"/>
                <w:szCs w:val="28"/>
                <w:lang w:val="nl-NL"/>
              </w:rPr>
              <w:lastRenderedPageBreak/>
              <w:t>(</w:t>
            </w:r>
            <w:r w:rsidR="004C0761" w:rsidRPr="005F55C7">
              <w:rPr>
                <w:rFonts w:asciiTheme="majorHAnsi" w:hAnsiTheme="majorHAnsi" w:cstheme="majorHAnsi"/>
                <w:bCs/>
                <w:iCs/>
                <w:sz w:val="28"/>
                <w:szCs w:val="28"/>
                <w:lang w:val="nl-NL"/>
              </w:rPr>
              <w:t xml:space="preserve">- Mục 2 Chỉ thị số 54-CT/TW ngày 30/11/2025 về tăng cường sự lãnh đạo của Đảng đối với công tác giám định tư pháp và định giá tài sản: </w:t>
            </w:r>
            <w:r w:rsidR="004C0761" w:rsidRPr="005F55C7">
              <w:rPr>
                <w:rFonts w:asciiTheme="majorHAnsi" w:hAnsiTheme="majorHAnsi" w:cstheme="majorHAnsi"/>
                <w:bCs/>
                <w:i/>
                <w:iCs/>
                <w:sz w:val="28"/>
                <w:szCs w:val="28"/>
                <w:lang w:val="nl-NL"/>
              </w:rPr>
              <w:t xml:space="preserve">“Chuẩn hoá quy trình tiếp nhận, thực hiện giám định tư pháp, </w:t>
            </w:r>
            <w:r w:rsidR="00667E68" w:rsidRPr="005F55C7">
              <w:rPr>
                <w:rFonts w:asciiTheme="majorHAnsi" w:hAnsiTheme="majorHAnsi" w:cstheme="majorHAnsi"/>
                <w:bCs/>
                <w:i/>
                <w:iCs/>
                <w:sz w:val="28"/>
                <w:szCs w:val="28"/>
                <w:lang w:val="nl-NL"/>
              </w:rPr>
              <w:t>...</w:t>
            </w:r>
            <w:r w:rsidR="004C0761" w:rsidRPr="005F55C7">
              <w:rPr>
                <w:rFonts w:asciiTheme="majorHAnsi" w:hAnsiTheme="majorHAnsi" w:cstheme="majorHAnsi"/>
                <w:bCs/>
                <w:i/>
                <w:iCs/>
                <w:sz w:val="28"/>
                <w:szCs w:val="28"/>
                <w:lang w:val="nl-NL"/>
              </w:rPr>
              <w:t>”</w:t>
            </w:r>
            <w:r w:rsidR="004C0761" w:rsidRPr="005F55C7">
              <w:rPr>
                <w:rFonts w:asciiTheme="majorHAnsi" w:hAnsiTheme="majorHAnsi" w:cstheme="majorHAnsi"/>
                <w:bCs/>
                <w:iCs/>
                <w:sz w:val="28"/>
                <w:szCs w:val="28"/>
                <w:lang w:val="nl-NL"/>
              </w:rPr>
              <w:t>.</w:t>
            </w:r>
          </w:p>
          <w:p w:rsidR="0084307C" w:rsidRPr="005F55C7" w:rsidRDefault="0084307C" w:rsidP="006E7A95">
            <w:pPr>
              <w:spacing w:after="120"/>
              <w:jc w:val="both"/>
              <w:rPr>
                <w:rFonts w:asciiTheme="majorHAnsi" w:hAnsiTheme="majorHAnsi" w:cstheme="majorHAnsi"/>
                <w:sz w:val="28"/>
                <w:szCs w:val="28"/>
                <w:lang w:val="nl-NL"/>
              </w:rPr>
            </w:pPr>
          </w:p>
          <w:p w:rsidR="0084307C" w:rsidRPr="005F55C7" w:rsidRDefault="0084307C" w:rsidP="006E7A95">
            <w:pPr>
              <w:widowControl w:val="0"/>
              <w:spacing w:after="120"/>
              <w:jc w:val="both"/>
              <w:rPr>
                <w:rFonts w:asciiTheme="majorHAnsi" w:hAnsiTheme="majorHAnsi" w:cstheme="majorHAnsi"/>
                <w:sz w:val="28"/>
                <w:szCs w:val="28"/>
                <w:lang w:val="de-DE"/>
              </w:rPr>
            </w:pPr>
          </w:p>
          <w:p w:rsidR="00B8744C" w:rsidRPr="005F55C7" w:rsidRDefault="00B8744C" w:rsidP="006E7A95">
            <w:pPr>
              <w:spacing w:after="120"/>
              <w:jc w:val="both"/>
              <w:rPr>
                <w:rFonts w:asciiTheme="majorHAnsi" w:hAnsiTheme="majorHAnsi" w:cstheme="majorHAnsi"/>
                <w:bCs/>
                <w:iCs/>
                <w:sz w:val="28"/>
                <w:szCs w:val="28"/>
                <w:lang w:val="en-US"/>
              </w:rPr>
            </w:pPr>
          </w:p>
        </w:tc>
        <w:tc>
          <w:tcPr>
            <w:tcW w:w="1700" w:type="dxa"/>
          </w:tcPr>
          <w:p w:rsidR="00DF5A25" w:rsidRPr="005F55C7" w:rsidRDefault="00C04FB8" w:rsidP="006E7A95">
            <w:pPr>
              <w:spacing w:after="120"/>
              <w:jc w:val="both"/>
              <w:rPr>
                <w:rFonts w:asciiTheme="majorHAnsi" w:hAnsiTheme="majorHAnsi" w:cstheme="majorHAnsi"/>
                <w:sz w:val="28"/>
                <w:szCs w:val="28"/>
              </w:rPr>
            </w:pPr>
            <w:r w:rsidRPr="005F55C7">
              <w:rPr>
                <w:rFonts w:asciiTheme="majorHAnsi" w:hAnsiTheme="majorHAnsi" w:cstheme="majorHAnsi"/>
                <w:sz w:val="28"/>
                <w:szCs w:val="28"/>
              </w:rPr>
              <w:t xml:space="preserve">Đã thể chế </w:t>
            </w:r>
            <w:r w:rsidRPr="005F55C7">
              <w:rPr>
                <w:rFonts w:asciiTheme="majorHAnsi" w:hAnsiTheme="majorHAnsi" w:cstheme="majorHAnsi"/>
                <w:sz w:val="28"/>
                <w:szCs w:val="28"/>
                <w:lang w:val="nl-NL"/>
              </w:rPr>
              <w:t xml:space="preserve">hóa </w:t>
            </w:r>
            <w:r w:rsidRPr="005F55C7">
              <w:rPr>
                <w:rFonts w:asciiTheme="majorHAnsi" w:hAnsiTheme="majorHAnsi" w:cstheme="majorHAnsi"/>
                <w:sz w:val="28"/>
                <w:szCs w:val="28"/>
              </w:rPr>
              <w:t>đầy đủ chủ trương, đường lối của Đảng.</w:t>
            </w:r>
          </w:p>
        </w:tc>
        <w:tc>
          <w:tcPr>
            <w:tcW w:w="991" w:type="dxa"/>
          </w:tcPr>
          <w:p w:rsidR="00DF5A25" w:rsidRPr="005F55C7" w:rsidRDefault="00DF5A25" w:rsidP="006E7A95">
            <w:pPr>
              <w:spacing w:after="120"/>
              <w:jc w:val="both"/>
              <w:rPr>
                <w:rFonts w:asciiTheme="majorHAnsi" w:hAnsiTheme="majorHAnsi" w:cstheme="majorHAnsi"/>
                <w:sz w:val="28"/>
                <w:szCs w:val="28"/>
              </w:rPr>
            </w:pPr>
          </w:p>
        </w:tc>
      </w:tr>
    </w:tbl>
    <w:p w:rsidR="00556529" w:rsidRPr="005F55C7" w:rsidRDefault="00556529" w:rsidP="006E7A95">
      <w:pPr>
        <w:spacing w:after="120" w:line="240" w:lineRule="auto"/>
        <w:jc w:val="right"/>
        <w:rPr>
          <w:rFonts w:asciiTheme="majorHAnsi" w:hAnsiTheme="majorHAnsi" w:cstheme="majorHAnsi"/>
          <w:b/>
          <w:sz w:val="28"/>
          <w:szCs w:val="28"/>
          <w:lang w:val="en-US"/>
        </w:rPr>
      </w:pPr>
    </w:p>
    <w:p w:rsidR="00386898" w:rsidRPr="005F55C7" w:rsidRDefault="00386898" w:rsidP="006E7A95">
      <w:pPr>
        <w:spacing w:after="120" w:line="240" w:lineRule="auto"/>
        <w:jc w:val="both"/>
        <w:rPr>
          <w:rFonts w:asciiTheme="majorHAnsi" w:hAnsiTheme="majorHAnsi" w:cstheme="majorHAnsi"/>
          <w:b/>
          <w:sz w:val="28"/>
          <w:szCs w:val="28"/>
          <w:lang w:val="en-US"/>
        </w:rPr>
      </w:pPr>
      <w:r w:rsidRPr="005F55C7">
        <w:rPr>
          <w:rFonts w:asciiTheme="majorHAnsi" w:hAnsiTheme="majorHAnsi" w:cstheme="majorHAnsi"/>
          <w:b/>
          <w:sz w:val="28"/>
          <w:szCs w:val="28"/>
          <w:lang w:val="en-US"/>
        </w:rPr>
        <w:t>2. Quy định của pháp luật</w:t>
      </w:r>
    </w:p>
    <w:tbl>
      <w:tblPr>
        <w:tblStyle w:val="TableGrid"/>
        <w:tblW w:w="15026" w:type="dxa"/>
        <w:tblInd w:w="-459" w:type="dxa"/>
        <w:tblLook w:val="04A0" w:firstRow="1" w:lastRow="0" w:firstColumn="1" w:lastColumn="0" w:noHBand="0" w:noVBand="1"/>
      </w:tblPr>
      <w:tblGrid>
        <w:gridCol w:w="709"/>
        <w:gridCol w:w="5812"/>
        <w:gridCol w:w="5812"/>
        <w:gridCol w:w="1701"/>
        <w:gridCol w:w="992"/>
      </w:tblGrid>
      <w:tr w:rsidR="00386898" w:rsidRPr="005F55C7" w:rsidTr="00137020">
        <w:trPr>
          <w:trHeight w:val="652"/>
          <w:tblHeader/>
        </w:trPr>
        <w:tc>
          <w:tcPr>
            <w:tcW w:w="709" w:type="dxa"/>
          </w:tcPr>
          <w:p w:rsidR="00386898" w:rsidRPr="005F55C7" w:rsidRDefault="00386898" w:rsidP="006E7A95">
            <w:pPr>
              <w:spacing w:after="120"/>
              <w:jc w:val="center"/>
              <w:rPr>
                <w:rFonts w:asciiTheme="majorHAnsi" w:hAnsiTheme="majorHAnsi" w:cstheme="majorHAnsi"/>
                <w:b/>
                <w:sz w:val="28"/>
                <w:szCs w:val="28"/>
                <w:lang w:val="en-US"/>
              </w:rPr>
            </w:pPr>
            <w:r w:rsidRPr="005F55C7">
              <w:rPr>
                <w:rFonts w:asciiTheme="majorHAnsi" w:hAnsiTheme="majorHAnsi" w:cstheme="majorHAnsi"/>
                <w:b/>
                <w:sz w:val="28"/>
                <w:szCs w:val="28"/>
                <w:lang w:val="en-US"/>
              </w:rPr>
              <w:t>TT</w:t>
            </w:r>
          </w:p>
        </w:tc>
        <w:tc>
          <w:tcPr>
            <w:tcW w:w="5812" w:type="dxa"/>
          </w:tcPr>
          <w:p w:rsidR="00386898" w:rsidRPr="005F55C7" w:rsidRDefault="00386898" w:rsidP="006E7A95">
            <w:pPr>
              <w:spacing w:after="120"/>
              <w:jc w:val="center"/>
              <w:rPr>
                <w:rFonts w:asciiTheme="majorHAnsi" w:hAnsiTheme="majorHAnsi" w:cstheme="majorHAnsi"/>
                <w:b/>
                <w:sz w:val="28"/>
                <w:szCs w:val="28"/>
                <w:lang w:val="en-US"/>
              </w:rPr>
            </w:pPr>
            <w:r w:rsidRPr="005F55C7">
              <w:rPr>
                <w:rFonts w:asciiTheme="majorHAnsi" w:hAnsiTheme="majorHAnsi" w:cstheme="majorHAnsi"/>
                <w:b/>
                <w:sz w:val="28"/>
                <w:szCs w:val="28"/>
                <w:lang w:val="en-US"/>
              </w:rPr>
              <w:t>Quy định tại dự thảo</w:t>
            </w:r>
          </w:p>
        </w:tc>
        <w:tc>
          <w:tcPr>
            <w:tcW w:w="5812" w:type="dxa"/>
          </w:tcPr>
          <w:p w:rsidR="00386898" w:rsidRPr="005F55C7" w:rsidRDefault="00312E56" w:rsidP="006E7A95">
            <w:pPr>
              <w:spacing w:after="120"/>
              <w:jc w:val="center"/>
              <w:rPr>
                <w:rFonts w:asciiTheme="majorHAnsi" w:hAnsiTheme="majorHAnsi" w:cstheme="majorHAnsi"/>
                <w:b/>
                <w:sz w:val="28"/>
                <w:szCs w:val="28"/>
                <w:lang w:val="en-US"/>
              </w:rPr>
            </w:pPr>
            <w:r>
              <w:rPr>
                <w:rFonts w:asciiTheme="majorHAnsi" w:hAnsiTheme="majorHAnsi" w:cstheme="majorHAnsi"/>
                <w:b/>
                <w:sz w:val="28"/>
                <w:szCs w:val="28"/>
                <w:lang w:val="en-US"/>
              </w:rPr>
              <w:t>Quy định của pháp luật</w:t>
            </w:r>
          </w:p>
        </w:tc>
        <w:tc>
          <w:tcPr>
            <w:tcW w:w="1701" w:type="dxa"/>
          </w:tcPr>
          <w:p w:rsidR="00386898" w:rsidRPr="005F55C7" w:rsidRDefault="00386898" w:rsidP="006E7A95">
            <w:pPr>
              <w:spacing w:after="120"/>
              <w:jc w:val="center"/>
              <w:rPr>
                <w:rFonts w:asciiTheme="majorHAnsi" w:hAnsiTheme="majorHAnsi" w:cstheme="majorHAnsi"/>
                <w:b/>
                <w:sz w:val="28"/>
                <w:szCs w:val="28"/>
                <w:lang w:val="en-US"/>
              </w:rPr>
            </w:pPr>
            <w:r w:rsidRPr="005F55C7">
              <w:rPr>
                <w:rFonts w:asciiTheme="majorHAnsi" w:hAnsiTheme="majorHAnsi" w:cstheme="majorHAnsi"/>
                <w:b/>
                <w:sz w:val="28"/>
                <w:szCs w:val="28"/>
                <w:lang w:val="en-US"/>
              </w:rPr>
              <w:t>Đánh giá</w:t>
            </w:r>
          </w:p>
          <w:p w:rsidR="00386898" w:rsidRPr="005F55C7" w:rsidRDefault="00386898" w:rsidP="006E7A95">
            <w:pPr>
              <w:spacing w:after="120"/>
              <w:jc w:val="center"/>
              <w:rPr>
                <w:rFonts w:asciiTheme="majorHAnsi" w:hAnsiTheme="majorHAnsi" w:cstheme="majorHAnsi"/>
                <w:b/>
                <w:sz w:val="28"/>
                <w:szCs w:val="28"/>
              </w:rPr>
            </w:pPr>
          </w:p>
        </w:tc>
        <w:tc>
          <w:tcPr>
            <w:tcW w:w="992" w:type="dxa"/>
          </w:tcPr>
          <w:p w:rsidR="00386898" w:rsidRPr="005F55C7" w:rsidRDefault="00386898" w:rsidP="006E7A95">
            <w:pPr>
              <w:spacing w:after="120"/>
              <w:jc w:val="center"/>
              <w:rPr>
                <w:rFonts w:asciiTheme="majorHAnsi" w:hAnsiTheme="majorHAnsi" w:cstheme="majorHAnsi"/>
                <w:b/>
                <w:sz w:val="28"/>
                <w:szCs w:val="28"/>
              </w:rPr>
            </w:pPr>
            <w:r w:rsidRPr="005F55C7">
              <w:rPr>
                <w:rFonts w:asciiTheme="majorHAnsi" w:hAnsiTheme="majorHAnsi" w:cstheme="majorHAnsi"/>
                <w:b/>
                <w:sz w:val="28"/>
                <w:szCs w:val="28"/>
                <w:lang w:val="en-US"/>
              </w:rPr>
              <w:t>Đề xuất xử lý</w:t>
            </w:r>
          </w:p>
        </w:tc>
      </w:tr>
      <w:tr w:rsidR="00386898" w:rsidRPr="005F55C7" w:rsidTr="00B603DE">
        <w:trPr>
          <w:trHeight w:val="319"/>
        </w:trPr>
        <w:tc>
          <w:tcPr>
            <w:tcW w:w="709" w:type="dxa"/>
          </w:tcPr>
          <w:p w:rsidR="00386898" w:rsidRPr="005F55C7" w:rsidRDefault="00386898" w:rsidP="006E7A95">
            <w:pPr>
              <w:spacing w:after="120"/>
              <w:jc w:val="both"/>
              <w:rPr>
                <w:rFonts w:asciiTheme="majorHAnsi" w:hAnsiTheme="majorHAnsi" w:cstheme="majorHAnsi"/>
                <w:b/>
                <w:sz w:val="28"/>
                <w:szCs w:val="28"/>
              </w:rPr>
            </w:pPr>
            <w:r w:rsidRPr="005F55C7">
              <w:rPr>
                <w:rFonts w:asciiTheme="majorHAnsi" w:hAnsiTheme="majorHAnsi" w:cstheme="majorHAnsi"/>
                <w:b/>
                <w:sz w:val="28"/>
                <w:szCs w:val="28"/>
                <w:lang w:val="de-DE"/>
              </w:rPr>
              <w:t>1</w:t>
            </w:r>
          </w:p>
        </w:tc>
        <w:tc>
          <w:tcPr>
            <w:tcW w:w="14317" w:type="dxa"/>
            <w:gridSpan w:val="4"/>
          </w:tcPr>
          <w:p w:rsidR="00386898" w:rsidRPr="005F55C7" w:rsidRDefault="00386898" w:rsidP="006E7A95">
            <w:pPr>
              <w:spacing w:after="120"/>
              <w:jc w:val="both"/>
              <w:rPr>
                <w:rFonts w:asciiTheme="majorHAnsi" w:hAnsiTheme="majorHAnsi" w:cstheme="majorHAnsi"/>
                <w:b/>
                <w:sz w:val="28"/>
                <w:szCs w:val="28"/>
                <w:lang w:val="en-US"/>
              </w:rPr>
            </w:pPr>
            <w:r w:rsidRPr="005F55C7">
              <w:rPr>
                <w:rFonts w:asciiTheme="majorHAnsi" w:hAnsiTheme="majorHAnsi" w:cstheme="majorHAnsi"/>
                <w:b/>
                <w:sz w:val="28"/>
                <w:szCs w:val="28"/>
                <w:lang w:val="de-DE"/>
              </w:rPr>
              <w:t>Q</w:t>
            </w:r>
            <w:r w:rsidRPr="005F55C7">
              <w:rPr>
                <w:rFonts w:asciiTheme="majorHAnsi" w:hAnsiTheme="majorHAnsi" w:cstheme="majorHAnsi"/>
                <w:b/>
                <w:sz w:val="28"/>
                <w:szCs w:val="28"/>
              </w:rPr>
              <w:t xml:space="preserve">uy định về </w:t>
            </w:r>
            <w:r w:rsidRPr="005F55C7">
              <w:rPr>
                <w:rFonts w:asciiTheme="majorHAnsi" w:hAnsiTheme="majorHAnsi" w:cstheme="majorHAnsi"/>
                <w:b/>
                <w:sz w:val="28"/>
                <w:szCs w:val="28"/>
                <w:lang w:val="en-US"/>
              </w:rPr>
              <w:t>trình tự, thủ tục tiếp nhận, thực hiện giám định tư pháp</w:t>
            </w:r>
          </w:p>
        </w:tc>
      </w:tr>
      <w:tr w:rsidR="00386898" w:rsidRPr="005F55C7" w:rsidTr="00137020">
        <w:trPr>
          <w:trHeight w:val="2908"/>
        </w:trPr>
        <w:tc>
          <w:tcPr>
            <w:tcW w:w="709" w:type="dxa"/>
          </w:tcPr>
          <w:p w:rsidR="00386898" w:rsidRPr="005F55C7" w:rsidRDefault="00386898" w:rsidP="006E7A95">
            <w:pPr>
              <w:spacing w:after="120"/>
              <w:jc w:val="both"/>
              <w:rPr>
                <w:rFonts w:asciiTheme="majorHAnsi" w:hAnsiTheme="majorHAnsi" w:cstheme="majorHAnsi"/>
                <w:sz w:val="28"/>
                <w:szCs w:val="28"/>
                <w:lang w:val="de-DE"/>
              </w:rPr>
            </w:pPr>
          </w:p>
        </w:tc>
        <w:tc>
          <w:tcPr>
            <w:tcW w:w="5812" w:type="dxa"/>
          </w:tcPr>
          <w:p w:rsidR="00386898" w:rsidRPr="005F55C7" w:rsidRDefault="00212BE3"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Tại 31 q</w:t>
            </w:r>
            <w:r w:rsidR="00386898" w:rsidRPr="005F55C7">
              <w:rPr>
                <w:rFonts w:asciiTheme="majorHAnsi" w:eastAsia="Times New Roman" w:hAnsiTheme="majorHAnsi" w:cstheme="majorHAnsi"/>
                <w:sz w:val="28"/>
                <w:szCs w:val="28"/>
                <w:lang w:val="en-US"/>
              </w:rPr>
              <w:t xml:space="preserve">uy trình </w:t>
            </w:r>
            <w:r w:rsidRPr="005F55C7">
              <w:rPr>
                <w:rFonts w:asciiTheme="majorHAnsi" w:eastAsia="Times New Roman" w:hAnsiTheme="majorHAnsi" w:cstheme="majorHAnsi"/>
                <w:sz w:val="28"/>
                <w:szCs w:val="28"/>
                <w:lang w:val="en-US"/>
              </w:rPr>
              <w:t xml:space="preserve">giám định ban hành </w:t>
            </w:r>
            <w:r w:rsidR="00386898" w:rsidRPr="005F55C7">
              <w:rPr>
                <w:rFonts w:asciiTheme="majorHAnsi" w:eastAsia="Times New Roman" w:hAnsiTheme="majorHAnsi" w:cstheme="majorHAnsi"/>
                <w:sz w:val="28"/>
                <w:szCs w:val="28"/>
                <w:lang w:val="en-US"/>
              </w:rPr>
              <w:t>kèm theo Thông tư quy định:</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1. Tiếp nhận trưng cầu, yêu cầu giám định và đối tượng giám định</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2. Chuẩn bị giám định</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3. Giám định tách biệt</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4. Giám định so sánh</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5. Đánh giá, kết luận</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6. Xây dựng hồ sơ giám định</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7. Hoàn thành quá trình giám định</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Bước 8. Trả kết luận giám định và đối tượng giám định</w:t>
            </w:r>
          </w:p>
          <w:p w:rsidR="00386898" w:rsidRPr="005F55C7" w:rsidRDefault="00386898" w:rsidP="006E7A95">
            <w:pPr>
              <w:widowControl w:val="0"/>
              <w:spacing w:after="120"/>
              <w:jc w:val="both"/>
              <w:rPr>
                <w:rFonts w:asciiTheme="majorHAnsi" w:eastAsia="Times New Roman" w:hAnsiTheme="majorHAnsi" w:cstheme="majorHAnsi"/>
                <w:sz w:val="28"/>
                <w:szCs w:val="28"/>
                <w:lang w:val="en-US"/>
              </w:rPr>
            </w:pPr>
            <w:r w:rsidRPr="005F55C7">
              <w:rPr>
                <w:rFonts w:asciiTheme="majorHAnsi" w:eastAsia="Times New Roman" w:hAnsiTheme="majorHAnsi" w:cstheme="majorHAnsi"/>
                <w:sz w:val="28"/>
                <w:szCs w:val="28"/>
                <w:lang w:val="en-US"/>
              </w:rPr>
              <w:t xml:space="preserve">- Bước 9. Lưu hồ sơ giám định </w:t>
            </w:r>
          </w:p>
        </w:tc>
        <w:tc>
          <w:tcPr>
            <w:tcW w:w="5812" w:type="dxa"/>
          </w:tcPr>
          <w:p w:rsidR="00DA1A4E" w:rsidRPr="005F55C7" w:rsidRDefault="00DA1A4E" w:rsidP="006E7A95">
            <w:pPr>
              <w:spacing w:after="120"/>
              <w:jc w:val="both"/>
              <w:rPr>
                <w:rFonts w:asciiTheme="majorHAnsi" w:hAnsiTheme="majorHAnsi" w:cstheme="majorHAnsi"/>
                <w:sz w:val="28"/>
                <w:szCs w:val="28"/>
                <w:lang w:val="es-ES_tradnl"/>
              </w:rPr>
            </w:pPr>
            <w:r w:rsidRPr="005F55C7">
              <w:rPr>
                <w:rFonts w:asciiTheme="majorHAnsi" w:hAnsiTheme="majorHAnsi" w:cstheme="majorHAnsi"/>
                <w:sz w:val="28"/>
                <w:szCs w:val="28"/>
                <w:lang w:val="es-ES_tradnl"/>
              </w:rPr>
              <w:t xml:space="preserve">Khoản 5 Điều 28 Luật Giám định tư pháp quy định: </w:t>
            </w:r>
          </w:p>
          <w:p w:rsidR="00DA1A4E" w:rsidRPr="005F55C7" w:rsidRDefault="00DA1A4E" w:rsidP="006E7A95">
            <w:pPr>
              <w:spacing w:after="120"/>
              <w:jc w:val="both"/>
              <w:rPr>
                <w:rFonts w:asciiTheme="majorHAnsi" w:hAnsiTheme="majorHAnsi" w:cstheme="majorHAnsi"/>
                <w:sz w:val="28"/>
                <w:szCs w:val="28"/>
                <w:lang w:val="es-ES_tradnl"/>
              </w:rPr>
            </w:pPr>
            <w:r w:rsidRPr="005F55C7">
              <w:rPr>
                <w:rFonts w:asciiTheme="majorHAnsi" w:hAnsiTheme="majorHAnsi" w:cstheme="majorHAnsi"/>
                <w:sz w:val="28"/>
                <w:szCs w:val="28"/>
                <w:lang w:val="es-ES_tradnl"/>
              </w:rPr>
              <w:t xml:space="preserve">5. Bộ trưởng, Thủ trưởng cơ quan ngang Bộ ban hành danh mục lĩnh vực chuyên môn, chuyên ngành giám định thuộc thẩm quyền quản lý và trình tự, thủ tục tiếp nhận trưng cầu, thực hiện giám định. </w:t>
            </w:r>
          </w:p>
          <w:p w:rsidR="00386898" w:rsidRPr="005F55C7" w:rsidRDefault="00DA1A4E" w:rsidP="006E7A95">
            <w:pPr>
              <w:spacing w:after="120"/>
              <w:jc w:val="both"/>
              <w:rPr>
                <w:rFonts w:asciiTheme="majorHAnsi" w:hAnsiTheme="majorHAnsi" w:cstheme="majorHAnsi"/>
                <w:sz w:val="28"/>
                <w:szCs w:val="28"/>
                <w:lang w:val="es-ES_tradnl"/>
              </w:rPr>
            </w:pPr>
            <w:r w:rsidRPr="005F55C7">
              <w:rPr>
                <w:rFonts w:asciiTheme="majorHAnsi" w:hAnsiTheme="majorHAnsi" w:cstheme="majorHAnsi"/>
                <w:sz w:val="28"/>
                <w:szCs w:val="28"/>
                <w:lang w:val="es-ES_tradnl"/>
              </w:rPr>
              <w:t>Cơ quan thuộc Chính phủ đề nghị Bộ, cơ quan ngang Bộ quản lý về lĩnh vực chuyên môn, chuyên ngành giám định ban hành danh mục lĩnh vực chuyên môn, chuyên ngành giám định thuộc thẩm quyền quản lý và trình tự, thủ tục tiếp nhận trưng cầu, thực hiện giám định.</w:t>
            </w:r>
          </w:p>
        </w:tc>
        <w:tc>
          <w:tcPr>
            <w:tcW w:w="1701" w:type="dxa"/>
          </w:tcPr>
          <w:p w:rsidR="00386898" w:rsidRPr="005F55C7" w:rsidRDefault="00386898" w:rsidP="006E7A95">
            <w:pPr>
              <w:spacing w:after="120"/>
              <w:jc w:val="both"/>
              <w:rPr>
                <w:rFonts w:asciiTheme="majorHAnsi" w:hAnsiTheme="majorHAnsi" w:cstheme="majorHAnsi"/>
                <w:sz w:val="28"/>
                <w:szCs w:val="28"/>
              </w:rPr>
            </w:pPr>
            <w:r w:rsidRPr="005F55C7">
              <w:rPr>
                <w:rFonts w:asciiTheme="majorHAnsi" w:hAnsiTheme="majorHAnsi" w:cstheme="majorHAnsi"/>
                <w:sz w:val="28"/>
                <w:szCs w:val="28"/>
              </w:rPr>
              <w:t xml:space="preserve">Đã </w:t>
            </w:r>
            <w:r w:rsidR="00212BE3" w:rsidRPr="005F55C7">
              <w:rPr>
                <w:rFonts w:asciiTheme="majorHAnsi" w:hAnsiTheme="majorHAnsi" w:cstheme="majorHAnsi"/>
                <w:sz w:val="28"/>
                <w:szCs w:val="28"/>
                <w:lang w:val="en-US"/>
              </w:rPr>
              <w:t>quy định chi tiết</w:t>
            </w:r>
            <w:r w:rsidR="00D30188" w:rsidRPr="005F55C7">
              <w:rPr>
                <w:rFonts w:asciiTheme="majorHAnsi" w:hAnsiTheme="majorHAnsi" w:cstheme="majorHAnsi"/>
                <w:sz w:val="28"/>
                <w:szCs w:val="28"/>
                <w:lang w:val="en-US"/>
              </w:rPr>
              <w:t xml:space="preserve"> nội dung Luật giao</w:t>
            </w:r>
            <w:r w:rsidRPr="005F55C7">
              <w:rPr>
                <w:rFonts w:asciiTheme="majorHAnsi" w:hAnsiTheme="majorHAnsi" w:cstheme="majorHAnsi"/>
                <w:sz w:val="28"/>
                <w:szCs w:val="28"/>
              </w:rPr>
              <w:t>.</w:t>
            </w:r>
          </w:p>
        </w:tc>
        <w:tc>
          <w:tcPr>
            <w:tcW w:w="992" w:type="dxa"/>
          </w:tcPr>
          <w:p w:rsidR="00386898" w:rsidRPr="005F55C7" w:rsidRDefault="00386898" w:rsidP="006E7A95">
            <w:pPr>
              <w:spacing w:after="120"/>
              <w:jc w:val="both"/>
              <w:rPr>
                <w:rFonts w:asciiTheme="majorHAnsi" w:hAnsiTheme="majorHAnsi" w:cstheme="majorHAnsi"/>
                <w:sz w:val="28"/>
                <w:szCs w:val="28"/>
              </w:rPr>
            </w:pPr>
          </w:p>
        </w:tc>
      </w:tr>
      <w:tr w:rsidR="00B225EA" w:rsidRPr="005F55C7" w:rsidTr="00FF2B0F">
        <w:trPr>
          <w:trHeight w:val="419"/>
        </w:trPr>
        <w:tc>
          <w:tcPr>
            <w:tcW w:w="15026" w:type="dxa"/>
            <w:gridSpan w:val="5"/>
          </w:tcPr>
          <w:p w:rsidR="00B225EA" w:rsidRPr="005F55C7" w:rsidRDefault="00B225EA" w:rsidP="006E7A95">
            <w:pPr>
              <w:spacing w:after="120"/>
              <w:jc w:val="both"/>
              <w:rPr>
                <w:rFonts w:asciiTheme="majorHAnsi" w:hAnsiTheme="majorHAnsi" w:cstheme="majorHAnsi"/>
                <w:sz w:val="28"/>
                <w:szCs w:val="28"/>
                <w:lang w:val="en-US"/>
              </w:rPr>
            </w:pPr>
            <w:r w:rsidRPr="005F55C7">
              <w:rPr>
                <w:rFonts w:asciiTheme="majorHAnsi" w:hAnsiTheme="majorHAnsi" w:cstheme="majorHAnsi"/>
                <w:sz w:val="28"/>
                <w:szCs w:val="28"/>
                <w:lang w:val="en-US"/>
              </w:rPr>
              <w:lastRenderedPageBreak/>
              <w:t>Quy định về thời hạn giám định tư pháp</w:t>
            </w:r>
          </w:p>
        </w:tc>
      </w:tr>
      <w:tr w:rsidR="00B225EA" w:rsidRPr="005F55C7" w:rsidTr="00137020">
        <w:trPr>
          <w:trHeight w:val="794"/>
        </w:trPr>
        <w:tc>
          <w:tcPr>
            <w:tcW w:w="709" w:type="dxa"/>
          </w:tcPr>
          <w:p w:rsidR="00B225EA" w:rsidRPr="005F55C7" w:rsidRDefault="00B225EA" w:rsidP="006E7A95">
            <w:pPr>
              <w:spacing w:after="120"/>
              <w:jc w:val="both"/>
              <w:rPr>
                <w:rFonts w:asciiTheme="majorHAnsi" w:hAnsiTheme="majorHAnsi" w:cstheme="majorHAnsi"/>
                <w:sz w:val="28"/>
                <w:szCs w:val="28"/>
                <w:lang w:val="de-DE"/>
              </w:rPr>
            </w:pPr>
          </w:p>
        </w:tc>
        <w:tc>
          <w:tcPr>
            <w:tcW w:w="5812" w:type="dxa"/>
          </w:tcPr>
          <w:p w:rsidR="00B225EA" w:rsidRPr="005F55C7" w:rsidRDefault="00EA2B56" w:rsidP="006E7A95">
            <w:pPr>
              <w:spacing w:after="120"/>
              <w:jc w:val="both"/>
              <w:rPr>
                <w:rFonts w:asciiTheme="majorHAnsi" w:eastAsia="Calibri" w:hAnsiTheme="majorHAnsi" w:cstheme="majorHAnsi"/>
                <w:sz w:val="28"/>
                <w:szCs w:val="28"/>
                <w:lang w:val="en-US"/>
              </w:rPr>
            </w:pPr>
            <w:r w:rsidRPr="005F55C7">
              <w:rPr>
                <w:rFonts w:asciiTheme="majorHAnsi" w:eastAsia="Calibri" w:hAnsiTheme="majorHAnsi" w:cstheme="majorHAnsi"/>
                <w:sz w:val="28"/>
                <w:szCs w:val="28"/>
                <w:lang w:val="en-US"/>
              </w:rPr>
              <w:t xml:space="preserve">Tại </w:t>
            </w:r>
            <w:r w:rsidR="00B225EA" w:rsidRPr="005F55C7">
              <w:rPr>
                <w:rFonts w:asciiTheme="majorHAnsi" w:eastAsia="Calibri" w:hAnsiTheme="majorHAnsi" w:cstheme="majorHAnsi"/>
                <w:sz w:val="28"/>
                <w:szCs w:val="28"/>
                <w:lang w:val="en-US"/>
              </w:rPr>
              <w:t xml:space="preserve">31 quy trình giám định ban hành kèm theo </w:t>
            </w:r>
            <w:r w:rsidRPr="005F55C7">
              <w:rPr>
                <w:rFonts w:asciiTheme="majorHAnsi" w:eastAsia="Calibri" w:hAnsiTheme="majorHAnsi" w:cstheme="majorHAnsi"/>
                <w:sz w:val="28"/>
                <w:szCs w:val="28"/>
                <w:lang w:val="en-US"/>
              </w:rPr>
              <w:t xml:space="preserve">Thông tư </w:t>
            </w:r>
            <w:r w:rsidR="00B225EA" w:rsidRPr="005F55C7">
              <w:rPr>
                <w:rFonts w:asciiTheme="majorHAnsi" w:eastAsia="Calibri" w:hAnsiTheme="majorHAnsi" w:cstheme="majorHAnsi"/>
                <w:sz w:val="28"/>
                <w:szCs w:val="28"/>
                <w:lang w:val="en-US"/>
              </w:rPr>
              <w:t>đều quy định về thời hạn tối đa để thực hiện giám định</w:t>
            </w:r>
          </w:p>
          <w:p w:rsidR="00B225EA" w:rsidRPr="005F55C7" w:rsidRDefault="00B225EA" w:rsidP="006E7A95">
            <w:pPr>
              <w:widowControl w:val="0"/>
              <w:spacing w:after="120"/>
              <w:jc w:val="both"/>
              <w:rPr>
                <w:rFonts w:asciiTheme="majorHAnsi" w:eastAsia="Times New Roman" w:hAnsiTheme="majorHAnsi" w:cstheme="majorHAnsi"/>
                <w:sz w:val="28"/>
                <w:szCs w:val="28"/>
                <w:lang w:val="en-US"/>
              </w:rPr>
            </w:pPr>
          </w:p>
        </w:tc>
        <w:tc>
          <w:tcPr>
            <w:tcW w:w="5812" w:type="dxa"/>
          </w:tcPr>
          <w:p w:rsidR="00FF4837" w:rsidRPr="005F55C7" w:rsidRDefault="00FF4837" w:rsidP="006E7A95">
            <w:pPr>
              <w:spacing w:after="120"/>
              <w:jc w:val="both"/>
              <w:rPr>
                <w:rFonts w:asciiTheme="majorHAnsi" w:hAnsiTheme="majorHAnsi" w:cstheme="majorHAnsi"/>
                <w:sz w:val="28"/>
                <w:szCs w:val="28"/>
              </w:rPr>
            </w:pPr>
            <w:r w:rsidRPr="005F55C7">
              <w:rPr>
                <w:rFonts w:asciiTheme="majorHAnsi" w:hAnsiTheme="majorHAnsi" w:cstheme="majorHAnsi"/>
                <w:bCs/>
                <w:iCs/>
                <w:sz w:val="28"/>
                <w:szCs w:val="28"/>
                <w:lang w:val="nl-NL"/>
              </w:rPr>
              <w:t xml:space="preserve">Khoản 2 Điều 30 Luật Giám định tư pháp quy định: </w:t>
            </w:r>
            <w:r w:rsidRPr="005F55C7">
              <w:rPr>
                <w:rFonts w:asciiTheme="majorHAnsi" w:hAnsiTheme="majorHAnsi" w:cstheme="majorHAnsi"/>
                <w:sz w:val="28"/>
                <w:szCs w:val="28"/>
                <w:lang w:val="nl-NL"/>
              </w:rPr>
              <w:t>2. Thời hạn giám định tư pháp đối với các trường hợp không thuộc quy định tại khoản 1 Điều này tối đa là 02 tháng; trường hợp vụ việc giám định có tính chất phức tạp hoặc khối lượng công việc lớn thì thời hạn giám định tối đa là 03 tháng</w:t>
            </w:r>
            <w:r w:rsidRPr="005F55C7">
              <w:rPr>
                <w:rFonts w:asciiTheme="majorHAnsi" w:hAnsiTheme="majorHAnsi" w:cstheme="majorHAnsi"/>
                <w:sz w:val="28"/>
                <w:szCs w:val="28"/>
              </w:rPr>
              <w:t>; trường hợp vụ việc giám định</w:t>
            </w:r>
            <w:r w:rsidRPr="005F55C7">
              <w:rPr>
                <w:rFonts w:asciiTheme="majorHAnsi" w:hAnsiTheme="majorHAnsi" w:cstheme="majorHAnsi"/>
                <w:sz w:val="28"/>
                <w:szCs w:val="28"/>
                <w:lang w:val="nl-NL"/>
              </w:rPr>
              <w:t xml:space="preserve"> có tính chất</w:t>
            </w:r>
            <w:r w:rsidRPr="005F55C7">
              <w:rPr>
                <w:rFonts w:asciiTheme="majorHAnsi" w:hAnsiTheme="majorHAnsi" w:cstheme="majorHAnsi"/>
                <w:sz w:val="28"/>
                <w:szCs w:val="28"/>
              </w:rPr>
              <w:t xml:space="preserve"> đặc biệt phức tạp</w:t>
            </w:r>
            <w:r w:rsidRPr="005F55C7">
              <w:rPr>
                <w:rFonts w:asciiTheme="majorHAnsi" w:hAnsiTheme="majorHAnsi" w:cstheme="majorHAnsi"/>
                <w:sz w:val="28"/>
                <w:szCs w:val="28"/>
                <w:lang w:val="nl-NL"/>
              </w:rPr>
              <w:t xml:space="preserve"> hoặc khối lượng công việc đặc biệt lớn</w:t>
            </w:r>
            <w:r w:rsidRPr="005F55C7">
              <w:rPr>
                <w:rFonts w:asciiTheme="majorHAnsi" w:hAnsiTheme="majorHAnsi" w:cstheme="majorHAnsi"/>
                <w:sz w:val="28"/>
                <w:szCs w:val="28"/>
              </w:rPr>
              <w:t xml:space="preserve"> thì thời hạn giám định</w:t>
            </w:r>
            <w:r w:rsidRPr="005F55C7">
              <w:rPr>
                <w:rFonts w:asciiTheme="majorHAnsi" w:hAnsiTheme="majorHAnsi" w:cstheme="majorHAnsi"/>
                <w:sz w:val="28"/>
                <w:szCs w:val="28"/>
                <w:lang w:val="nl-NL"/>
              </w:rPr>
              <w:t xml:space="preserve"> tối đa là 04 tháng.</w:t>
            </w:r>
          </w:p>
          <w:p w:rsidR="00B225EA" w:rsidRPr="005F55C7" w:rsidRDefault="00FF4837" w:rsidP="006E7A95">
            <w:pPr>
              <w:spacing w:after="120"/>
              <w:jc w:val="both"/>
              <w:rPr>
                <w:rFonts w:asciiTheme="majorHAnsi" w:hAnsiTheme="majorHAnsi" w:cstheme="majorHAnsi"/>
                <w:spacing w:val="4"/>
                <w:sz w:val="28"/>
                <w:szCs w:val="28"/>
                <w:lang w:val="nl-NL"/>
              </w:rPr>
            </w:pPr>
            <w:r w:rsidRPr="005F55C7">
              <w:rPr>
                <w:rFonts w:asciiTheme="majorHAnsi" w:hAnsiTheme="majorHAnsi" w:cstheme="majorHAnsi"/>
                <w:spacing w:val="4"/>
                <w:sz w:val="28"/>
                <w:szCs w:val="28"/>
                <w:lang w:val="nl-NL"/>
              </w:rPr>
              <w:t>Bộ, cơ quan ngang Bộ quản lý chuyên môn về lĩnh vực giám định tư pháp căn cứ tính chất chuyên môn của lĩnh vực giám định, thời hạn giám định tối đa nêu tại khoản này để quy định thời hạn giám định tư pháp cho từng loại việc cụ thể.</w:t>
            </w:r>
          </w:p>
        </w:tc>
        <w:tc>
          <w:tcPr>
            <w:tcW w:w="1701" w:type="dxa"/>
          </w:tcPr>
          <w:p w:rsidR="00B225EA" w:rsidRPr="005F55C7" w:rsidRDefault="00D30188" w:rsidP="006E7A95">
            <w:pPr>
              <w:spacing w:after="120"/>
              <w:jc w:val="both"/>
              <w:rPr>
                <w:rFonts w:asciiTheme="majorHAnsi" w:hAnsiTheme="majorHAnsi" w:cstheme="majorHAnsi"/>
                <w:sz w:val="28"/>
                <w:szCs w:val="28"/>
              </w:rPr>
            </w:pPr>
            <w:r w:rsidRPr="005F55C7">
              <w:rPr>
                <w:rFonts w:asciiTheme="majorHAnsi" w:hAnsiTheme="majorHAnsi" w:cstheme="majorHAnsi"/>
                <w:sz w:val="28"/>
                <w:szCs w:val="28"/>
              </w:rPr>
              <w:t xml:space="preserve">Đã </w:t>
            </w:r>
            <w:r w:rsidRPr="005F55C7">
              <w:rPr>
                <w:rFonts w:asciiTheme="majorHAnsi" w:hAnsiTheme="majorHAnsi" w:cstheme="majorHAnsi"/>
                <w:sz w:val="28"/>
                <w:szCs w:val="28"/>
                <w:lang w:val="en-US"/>
              </w:rPr>
              <w:t>quy định chi tiết nội dung Luật giao</w:t>
            </w:r>
            <w:r w:rsidRPr="005F55C7">
              <w:rPr>
                <w:rFonts w:asciiTheme="majorHAnsi" w:hAnsiTheme="majorHAnsi" w:cstheme="majorHAnsi"/>
                <w:sz w:val="28"/>
                <w:szCs w:val="28"/>
              </w:rPr>
              <w:t>.</w:t>
            </w:r>
          </w:p>
        </w:tc>
        <w:tc>
          <w:tcPr>
            <w:tcW w:w="992" w:type="dxa"/>
          </w:tcPr>
          <w:p w:rsidR="00B225EA" w:rsidRPr="005F55C7" w:rsidRDefault="00B225EA" w:rsidP="006E7A95">
            <w:pPr>
              <w:spacing w:after="120"/>
              <w:jc w:val="both"/>
              <w:rPr>
                <w:rFonts w:asciiTheme="majorHAnsi" w:hAnsiTheme="majorHAnsi" w:cstheme="majorHAnsi"/>
                <w:sz w:val="28"/>
                <w:szCs w:val="28"/>
              </w:rPr>
            </w:pPr>
          </w:p>
        </w:tc>
      </w:tr>
      <w:tr w:rsidR="007D123D" w:rsidRPr="005F55C7" w:rsidTr="005F55C7">
        <w:trPr>
          <w:trHeight w:val="177"/>
        </w:trPr>
        <w:tc>
          <w:tcPr>
            <w:tcW w:w="15026" w:type="dxa"/>
            <w:gridSpan w:val="5"/>
          </w:tcPr>
          <w:p w:rsidR="007D123D" w:rsidRPr="005F55C7" w:rsidRDefault="007D123D" w:rsidP="006E7A95">
            <w:pPr>
              <w:spacing w:after="120"/>
              <w:jc w:val="both"/>
              <w:rPr>
                <w:rFonts w:asciiTheme="majorHAnsi" w:hAnsiTheme="majorHAnsi" w:cstheme="majorHAnsi"/>
                <w:b/>
                <w:sz w:val="28"/>
                <w:szCs w:val="28"/>
                <w:lang w:val="en-US"/>
              </w:rPr>
            </w:pPr>
            <w:r w:rsidRPr="005F55C7">
              <w:rPr>
                <w:rFonts w:asciiTheme="majorHAnsi" w:hAnsiTheme="majorHAnsi" w:cstheme="majorHAnsi"/>
                <w:b/>
                <w:sz w:val="28"/>
                <w:szCs w:val="28"/>
                <w:lang w:val="en-US"/>
              </w:rPr>
              <w:t>Quy định về hồ sơ giám định tư pháp</w:t>
            </w:r>
          </w:p>
        </w:tc>
      </w:tr>
      <w:tr w:rsidR="00B225EA" w:rsidRPr="005F55C7" w:rsidTr="00137020">
        <w:trPr>
          <w:trHeight w:val="794"/>
        </w:trPr>
        <w:tc>
          <w:tcPr>
            <w:tcW w:w="709" w:type="dxa"/>
          </w:tcPr>
          <w:p w:rsidR="00B225EA" w:rsidRPr="005F55C7" w:rsidRDefault="00B225EA" w:rsidP="006E7A95">
            <w:pPr>
              <w:spacing w:after="120"/>
              <w:jc w:val="both"/>
              <w:rPr>
                <w:rFonts w:asciiTheme="majorHAnsi" w:hAnsiTheme="majorHAnsi" w:cstheme="majorHAnsi"/>
                <w:sz w:val="28"/>
                <w:szCs w:val="28"/>
                <w:lang w:val="de-DE"/>
              </w:rPr>
            </w:pPr>
          </w:p>
        </w:tc>
        <w:tc>
          <w:tcPr>
            <w:tcW w:w="5812" w:type="dxa"/>
          </w:tcPr>
          <w:p w:rsidR="00177867" w:rsidRPr="005F55C7" w:rsidRDefault="00177867" w:rsidP="006E7A95">
            <w:pPr>
              <w:spacing w:after="120"/>
              <w:jc w:val="both"/>
              <w:rPr>
                <w:rFonts w:asciiTheme="majorHAnsi" w:eastAsia="Calibri" w:hAnsiTheme="majorHAnsi" w:cstheme="majorHAnsi"/>
                <w:sz w:val="28"/>
                <w:szCs w:val="28"/>
                <w:lang w:val="en-US"/>
              </w:rPr>
            </w:pPr>
            <w:r w:rsidRPr="005F55C7">
              <w:rPr>
                <w:rFonts w:asciiTheme="majorHAnsi" w:eastAsia="Calibri" w:hAnsiTheme="majorHAnsi" w:cstheme="majorHAnsi"/>
                <w:sz w:val="28"/>
                <w:szCs w:val="28"/>
                <w:lang w:val="en-US"/>
              </w:rPr>
              <w:t>Bước 7 và bước 10 tại 31 quy trình giám định ban hành kèm theo Thông tư đã quy định về lập hồ sơ giám định tư pháp và lưu hồ sơ giám định tư pháp, cụ thể:</w:t>
            </w:r>
          </w:p>
          <w:p w:rsidR="007D123D" w:rsidRPr="005F55C7" w:rsidRDefault="007D123D" w:rsidP="006E7A95">
            <w:pPr>
              <w:spacing w:after="120"/>
              <w:jc w:val="both"/>
              <w:rPr>
                <w:rFonts w:asciiTheme="majorHAnsi" w:eastAsia="Calibri" w:hAnsiTheme="majorHAnsi" w:cstheme="majorHAnsi"/>
                <w:b/>
                <w:sz w:val="28"/>
                <w:szCs w:val="28"/>
              </w:rPr>
            </w:pPr>
            <w:r w:rsidRPr="005F55C7">
              <w:rPr>
                <w:rFonts w:asciiTheme="majorHAnsi" w:eastAsia="Calibri" w:hAnsiTheme="majorHAnsi" w:cstheme="majorHAnsi"/>
                <w:b/>
                <w:sz w:val="28"/>
                <w:szCs w:val="28"/>
              </w:rPr>
              <w:t xml:space="preserve"> Bước </w:t>
            </w:r>
            <w:r w:rsidRPr="005F55C7">
              <w:rPr>
                <w:rFonts w:asciiTheme="majorHAnsi" w:eastAsia="Calibri" w:hAnsiTheme="majorHAnsi" w:cstheme="majorHAnsi"/>
                <w:b/>
                <w:sz w:val="28"/>
                <w:szCs w:val="28"/>
                <w:lang w:val="en-US"/>
              </w:rPr>
              <w:t>7:</w:t>
            </w:r>
            <w:r w:rsidRPr="005F55C7">
              <w:rPr>
                <w:rFonts w:asciiTheme="majorHAnsi" w:eastAsia="Calibri" w:hAnsiTheme="majorHAnsi" w:cstheme="majorHAnsi"/>
                <w:b/>
                <w:sz w:val="28"/>
                <w:szCs w:val="28"/>
              </w:rPr>
              <w:t xml:space="preserve"> </w:t>
            </w:r>
            <w:r w:rsidRPr="005F55C7">
              <w:rPr>
                <w:rFonts w:asciiTheme="majorHAnsi" w:eastAsia="Calibri" w:hAnsiTheme="majorHAnsi" w:cstheme="majorHAnsi"/>
                <w:b/>
                <w:sz w:val="28"/>
                <w:szCs w:val="28"/>
                <w:lang w:val="en-US"/>
              </w:rPr>
              <w:t>Lập</w:t>
            </w:r>
            <w:r w:rsidRPr="005F55C7">
              <w:rPr>
                <w:rFonts w:asciiTheme="majorHAnsi" w:eastAsia="Calibri" w:hAnsiTheme="majorHAnsi" w:cstheme="majorHAnsi"/>
                <w:b/>
                <w:sz w:val="28"/>
                <w:szCs w:val="28"/>
              </w:rPr>
              <w:t xml:space="preserve"> hồ sơ giám định</w:t>
            </w:r>
          </w:p>
          <w:p w:rsidR="007D123D" w:rsidRPr="005F55C7" w:rsidRDefault="007D123D" w:rsidP="006E7A95">
            <w:pPr>
              <w:widowControl w:val="0"/>
              <w:spacing w:after="120"/>
              <w:jc w:val="both"/>
              <w:rPr>
                <w:rFonts w:asciiTheme="majorHAnsi" w:eastAsia="Times New Roman" w:hAnsiTheme="majorHAnsi" w:cstheme="majorHAnsi"/>
                <w:sz w:val="28"/>
                <w:szCs w:val="28"/>
                <w:highlight w:val="white"/>
                <w:lang w:val="en-US"/>
              </w:rPr>
            </w:pPr>
            <w:r w:rsidRPr="005F55C7">
              <w:rPr>
                <w:rFonts w:asciiTheme="majorHAnsi" w:eastAsia="Calibri" w:hAnsiTheme="majorHAnsi" w:cstheme="majorHAnsi"/>
                <w:sz w:val="28"/>
                <w:szCs w:val="28"/>
                <w:lang w:val="en-US"/>
              </w:rPr>
              <w:t xml:space="preserve">Hồ sơ giám định được lập theo </w:t>
            </w:r>
            <w:r w:rsidRPr="005F55C7">
              <w:rPr>
                <w:rFonts w:asciiTheme="majorHAnsi" w:eastAsia="Times New Roman" w:hAnsiTheme="majorHAnsi" w:cstheme="majorHAnsi"/>
                <w:sz w:val="28"/>
                <w:szCs w:val="28"/>
                <w:highlight w:val="white"/>
              </w:rPr>
              <w:t xml:space="preserve">biểu mẫu do cơ </w:t>
            </w:r>
            <w:r w:rsidRPr="005F55C7">
              <w:rPr>
                <w:rFonts w:asciiTheme="majorHAnsi" w:eastAsia="Times New Roman" w:hAnsiTheme="majorHAnsi" w:cstheme="majorHAnsi"/>
                <w:sz w:val="28"/>
                <w:szCs w:val="28"/>
                <w:highlight w:val="white"/>
              </w:rPr>
              <w:lastRenderedPageBreak/>
              <w:t>quan có thẩm quyền ban hành theo quy định của pháp luật, gồm</w:t>
            </w:r>
            <w:r w:rsidRPr="005F55C7">
              <w:rPr>
                <w:rFonts w:asciiTheme="majorHAnsi" w:eastAsia="Times New Roman" w:hAnsiTheme="majorHAnsi" w:cstheme="majorHAnsi"/>
                <w:sz w:val="28"/>
                <w:szCs w:val="28"/>
                <w:highlight w:val="white"/>
                <w:lang w:val="en-US"/>
              </w:rPr>
              <w:t xml:space="preserve">: </w:t>
            </w:r>
          </w:p>
          <w:p w:rsidR="007D123D" w:rsidRPr="005F55C7" w:rsidRDefault="007D123D" w:rsidP="006E7A95">
            <w:pPr>
              <w:spacing w:after="120"/>
              <w:jc w:val="both"/>
              <w:rPr>
                <w:rFonts w:asciiTheme="majorHAnsi" w:eastAsia="Calibri" w:hAnsiTheme="majorHAnsi" w:cstheme="majorHAnsi"/>
                <w:sz w:val="28"/>
                <w:szCs w:val="28"/>
              </w:rPr>
            </w:pPr>
            <w:r w:rsidRPr="005F55C7">
              <w:rPr>
                <w:rFonts w:asciiTheme="majorHAnsi" w:eastAsia="Calibri" w:hAnsiTheme="majorHAnsi" w:cstheme="majorHAnsi"/>
                <w:sz w:val="28"/>
                <w:szCs w:val="28"/>
              </w:rPr>
              <w:t xml:space="preserve">- Quyết định trưng cầu, </w:t>
            </w:r>
            <w:r w:rsidRPr="005F55C7">
              <w:rPr>
                <w:rFonts w:asciiTheme="majorHAnsi" w:eastAsia="Calibri" w:hAnsiTheme="majorHAnsi" w:cstheme="majorHAnsi"/>
                <w:sz w:val="28"/>
                <w:szCs w:val="28"/>
                <w:lang w:val="en-US"/>
              </w:rPr>
              <w:t xml:space="preserve">văn bản </w:t>
            </w:r>
            <w:r w:rsidRPr="005F55C7">
              <w:rPr>
                <w:rFonts w:asciiTheme="majorHAnsi" w:eastAsia="Calibri" w:hAnsiTheme="majorHAnsi" w:cstheme="majorHAnsi"/>
                <w:sz w:val="28"/>
                <w:szCs w:val="28"/>
              </w:rPr>
              <w:t>yêu cầu giám định, giám định bổ sung hoặc giám định lại;</w:t>
            </w:r>
          </w:p>
          <w:p w:rsidR="007D123D" w:rsidRPr="005F55C7" w:rsidRDefault="007D123D" w:rsidP="006E7A95">
            <w:pPr>
              <w:spacing w:after="120"/>
              <w:jc w:val="both"/>
              <w:rPr>
                <w:rFonts w:asciiTheme="majorHAnsi" w:eastAsia="Calibri" w:hAnsiTheme="majorHAnsi" w:cstheme="majorHAnsi"/>
                <w:sz w:val="28"/>
                <w:szCs w:val="28"/>
              </w:rPr>
            </w:pPr>
            <w:r w:rsidRPr="005F55C7">
              <w:rPr>
                <w:rFonts w:asciiTheme="majorHAnsi" w:eastAsia="Calibri" w:hAnsiTheme="majorHAnsi" w:cstheme="majorHAnsi"/>
                <w:sz w:val="28"/>
                <w:szCs w:val="28"/>
              </w:rPr>
              <w:t>- Biên bản mở niêm phong và giao nhận đối tượng giám định</w:t>
            </w:r>
            <w:r w:rsidRPr="005F55C7">
              <w:rPr>
                <w:rFonts w:asciiTheme="majorHAnsi" w:eastAsia="Calibri" w:hAnsiTheme="majorHAnsi" w:cstheme="majorHAnsi"/>
                <w:sz w:val="28"/>
                <w:szCs w:val="28"/>
                <w:lang w:val="en-US"/>
              </w:rPr>
              <w:t>.</w:t>
            </w:r>
            <w:r w:rsidRPr="005F55C7">
              <w:rPr>
                <w:rFonts w:asciiTheme="majorHAnsi" w:eastAsia="Calibri" w:hAnsiTheme="majorHAnsi" w:cstheme="majorHAnsi"/>
                <w:sz w:val="28"/>
                <w:szCs w:val="28"/>
              </w:rPr>
              <w:t xml:space="preserve"> </w:t>
            </w:r>
          </w:p>
          <w:p w:rsidR="007D123D" w:rsidRPr="005F55C7" w:rsidRDefault="007D123D" w:rsidP="006E7A95">
            <w:pPr>
              <w:spacing w:after="120"/>
              <w:jc w:val="both"/>
              <w:rPr>
                <w:rFonts w:asciiTheme="majorHAnsi" w:eastAsia="Calibri" w:hAnsiTheme="majorHAnsi" w:cstheme="majorHAnsi"/>
                <w:sz w:val="28"/>
                <w:szCs w:val="28"/>
                <w:lang w:val="en-US"/>
              </w:rPr>
            </w:pPr>
            <w:r w:rsidRPr="005F55C7">
              <w:rPr>
                <w:rFonts w:asciiTheme="majorHAnsi" w:eastAsia="Calibri" w:hAnsiTheme="majorHAnsi" w:cstheme="majorHAnsi"/>
                <w:sz w:val="28"/>
                <w:szCs w:val="28"/>
              </w:rPr>
              <w:t xml:space="preserve">- Biên bản giám định </w:t>
            </w:r>
            <w:r w:rsidRPr="005F55C7">
              <w:rPr>
                <w:rFonts w:asciiTheme="majorHAnsi" w:eastAsia="Calibri" w:hAnsiTheme="majorHAnsi" w:cstheme="majorHAnsi"/>
                <w:sz w:val="28"/>
                <w:szCs w:val="28"/>
                <w:lang w:val="en-US"/>
              </w:rPr>
              <w:t>hoặc phương tiện lưu dữ liệu điện tử ghi nhận quá trình giám định.</w:t>
            </w:r>
          </w:p>
          <w:p w:rsidR="007D123D" w:rsidRPr="005F55C7" w:rsidRDefault="007D123D" w:rsidP="006E7A95">
            <w:pPr>
              <w:spacing w:after="120"/>
              <w:jc w:val="both"/>
              <w:rPr>
                <w:rFonts w:asciiTheme="majorHAnsi" w:eastAsia="Calibri" w:hAnsiTheme="majorHAnsi" w:cstheme="majorHAnsi"/>
                <w:sz w:val="28"/>
                <w:szCs w:val="28"/>
              </w:rPr>
            </w:pPr>
            <w:r w:rsidRPr="005F55C7">
              <w:rPr>
                <w:rFonts w:asciiTheme="majorHAnsi" w:eastAsia="Calibri" w:hAnsiTheme="majorHAnsi" w:cstheme="majorHAnsi"/>
                <w:sz w:val="28"/>
                <w:szCs w:val="28"/>
              </w:rPr>
              <w:t xml:space="preserve">- Kết luận giám định </w:t>
            </w:r>
          </w:p>
          <w:p w:rsidR="007D123D" w:rsidRPr="005F55C7" w:rsidRDefault="007D123D" w:rsidP="006E7A95">
            <w:pPr>
              <w:spacing w:after="120"/>
              <w:jc w:val="both"/>
              <w:rPr>
                <w:rFonts w:asciiTheme="majorHAnsi" w:eastAsia="Calibri" w:hAnsiTheme="majorHAnsi" w:cstheme="majorHAnsi"/>
                <w:sz w:val="28"/>
                <w:szCs w:val="28"/>
              </w:rPr>
            </w:pPr>
            <w:r w:rsidRPr="005F55C7">
              <w:rPr>
                <w:rFonts w:asciiTheme="majorHAnsi" w:eastAsia="Calibri" w:hAnsiTheme="majorHAnsi" w:cstheme="majorHAnsi"/>
                <w:sz w:val="28"/>
                <w:szCs w:val="28"/>
              </w:rPr>
              <w:t xml:space="preserve">- Kết luận giám định của Hội đồng giám định (nếu có); </w:t>
            </w:r>
          </w:p>
          <w:p w:rsidR="007D123D" w:rsidRPr="005F55C7" w:rsidRDefault="007D123D" w:rsidP="006E7A95">
            <w:pPr>
              <w:spacing w:after="120"/>
              <w:jc w:val="both"/>
              <w:rPr>
                <w:rFonts w:asciiTheme="majorHAnsi" w:eastAsia="Calibri" w:hAnsiTheme="majorHAnsi" w:cstheme="majorHAnsi"/>
                <w:sz w:val="28"/>
                <w:szCs w:val="28"/>
              </w:rPr>
            </w:pPr>
            <w:r w:rsidRPr="005F55C7">
              <w:rPr>
                <w:rFonts w:asciiTheme="majorHAnsi" w:eastAsia="Calibri" w:hAnsiTheme="majorHAnsi" w:cstheme="majorHAnsi"/>
                <w:sz w:val="28"/>
                <w:szCs w:val="28"/>
              </w:rPr>
              <w:t xml:space="preserve">- Bản ảnh giám định (nếu có); </w:t>
            </w:r>
          </w:p>
          <w:p w:rsidR="007D123D" w:rsidRPr="005F55C7" w:rsidRDefault="007D123D" w:rsidP="006E7A95">
            <w:pPr>
              <w:spacing w:after="120"/>
              <w:jc w:val="both"/>
              <w:rPr>
                <w:rFonts w:asciiTheme="majorHAnsi" w:eastAsia="Calibri" w:hAnsiTheme="majorHAnsi" w:cstheme="majorHAnsi"/>
                <w:sz w:val="28"/>
                <w:szCs w:val="28"/>
              </w:rPr>
            </w:pPr>
            <w:r w:rsidRPr="005F55C7">
              <w:rPr>
                <w:rFonts w:asciiTheme="majorHAnsi" w:eastAsia="Calibri" w:hAnsiTheme="majorHAnsi" w:cstheme="majorHAnsi"/>
                <w:sz w:val="28"/>
                <w:szCs w:val="28"/>
              </w:rPr>
              <w:t>- Kết luận giám định trước đó hoặc kết quả xét nghiệm, thực nghiệm giám định do người khác thực hiện (nếu có);</w:t>
            </w:r>
          </w:p>
          <w:p w:rsidR="007D123D" w:rsidRPr="005F55C7" w:rsidRDefault="007D123D" w:rsidP="006E7A95">
            <w:pPr>
              <w:spacing w:after="120"/>
              <w:jc w:val="both"/>
              <w:rPr>
                <w:rFonts w:asciiTheme="majorHAnsi" w:eastAsia="Calibri" w:hAnsiTheme="majorHAnsi" w:cstheme="majorHAnsi"/>
                <w:sz w:val="28"/>
                <w:szCs w:val="28"/>
              </w:rPr>
            </w:pPr>
            <w:r w:rsidRPr="005F55C7">
              <w:rPr>
                <w:rFonts w:asciiTheme="majorHAnsi" w:eastAsia="Calibri" w:hAnsiTheme="majorHAnsi" w:cstheme="majorHAnsi"/>
                <w:sz w:val="28"/>
                <w:szCs w:val="28"/>
              </w:rPr>
              <w:t xml:space="preserve">- Các tài liệu khác có liên quan đến việc giám định (nếu có). </w:t>
            </w:r>
          </w:p>
          <w:p w:rsidR="00177867" w:rsidRPr="005F55C7" w:rsidRDefault="00177867" w:rsidP="006E7A95">
            <w:pPr>
              <w:spacing w:after="120"/>
              <w:jc w:val="both"/>
              <w:rPr>
                <w:rFonts w:asciiTheme="majorHAnsi" w:eastAsia="Times New Roman" w:hAnsiTheme="majorHAnsi" w:cstheme="majorHAnsi"/>
                <w:b/>
                <w:sz w:val="28"/>
                <w:szCs w:val="28"/>
                <w:lang w:eastAsia="en-GB"/>
              </w:rPr>
            </w:pPr>
            <w:r w:rsidRPr="005F55C7">
              <w:rPr>
                <w:rFonts w:asciiTheme="majorHAnsi" w:eastAsia="Times New Roman" w:hAnsiTheme="majorHAnsi" w:cstheme="majorHAnsi"/>
                <w:b/>
                <w:sz w:val="28"/>
                <w:szCs w:val="28"/>
                <w:lang w:val="en-US" w:eastAsia="en-GB"/>
              </w:rPr>
              <w:t>10</w:t>
            </w:r>
            <w:r w:rsidRPr="005F55C7">
              <w:rPr>
                <w:rFonts w:asciiTheme="majorHAnsi" w:eastAsia="Times New Roman" w:hAnsiTheme="majorHAnsi" w:cstheme="majorHAnsi"/>
                <w:b/>
                <w:sz w:val="28"/>
                <w:szCs w:val="28"/>
                <w:lang w:eastAsia="en-GB"/>
              </w:rPr>
              <w:t xml:space="preserve">. Bước </w:t>
            </w:r>
            <w:r w:rsidRPr="005F55C7">
              <w:rPr>
                <w:rFonts w:asciiTheme="majorHAnsi" w:eastAsia="Times New Roman" w:hAnsiTheme="majorHAnsi" w:cstheme="majorHAnsi"/>
                <w:b/>
                <w:sz w:val="28"/>
                <w:szCs w:val="28"/>
                <w:lang w:val="en-US" w:eastAsia="en-GB"/>
              </w:rPr>
              <w:t>10</w:t>
            </w:r>
            <w:r w:rsidRPr="005F55C7">
              <w:rPr>
                <w:rFonts w:asciiTheme="majorHAnsi" w:eastAsia="Times New Roman" w:hAnsiTheme="majorHAnsi" w:cstheme="majorHAnsi"/>
                <w:b/>
                <w:sz w:val="28"/>
                <w:szCs w:val="28"/>
                <w:lang w:eastAsia="en-GB"/>
              </w:rPr>
              <w:t>: Lưu hồ sơ giám định</w:t>
            </w:r>
          </w:p>
          <w:p w:rsidR="00177867" w:rsidRPr="005F55C7" w:rsidRDefault="00177867" w:rsidP="006E7A95">
            <w:pPr>
              <w:spacing w:after="120"/>
              <w:jc w:val="both"/>
              <w:rPr>
                <w:rFonts w:asciiTheme="majorHAnsi" w:eastAsia="Times New Roman" w:hAnsiTheme="majorHAnsi" w:cstheme="majorHAnsi"/>
                <w:sz w:val="28"/>
                <w:szCs w:val="28"/>
                <w:lang w:eastAsia="en-GB"/>
              </w:rPr>
            </w:pPr>
            <w:r w:rsidRPr="005F55C7">
              <w:rPr>
                <w:rFonts w:asciiTheme="majorHAnsi" w:eastAsia="Times New Roman" w:hAnsiTheme="majorHAnsi" w:cstheme="majorHAnsi"/>
                <w:sz w:val="28"/>
                <w:szCs w:val="28"/>
                <w:lang w:val="en-US" w:eastAsia="en-GB"/>
              </w:rPr>
              <w:t>H</w:t>
            </w:r>
            <w:r w:rsidRPr="005F55C7">
              <w:rPr>
                <w:rFonts w:asciiTheme="majorHAnsi" w:eastAsia="Times New Roman" w:hAnsiTheme="majorHAnsi" w:cstheme="majorHAnsi"/>
                <w:sz w:val="28"/>
                <w:szCs w:val="28"/>
                <w:lang w:eastAsia="en-GB"/>
              </w:rPr>
              <w:t>ồ sơ giám định được lưu trữ tại cơ quan quản lý hồ sơ nghiệp vụ theo quy định của pháp luật.</w:t>
            </w:r>
          </w:p>
          <w:p w:rsidR="00177867" w:rsidRPr="005F55C7" w:rsidRDefault="00177867" w:rsidP="006E7A95">
            <w:pPr>
              <w:widowControl w:val="0"/>
              <w:spacing w:after="120"/>
              <w:jc w:val="both"/>
              <w:rPr>
                <w:rFonts w:asciiTheme="majorHAnsi" w:eastAsia="Times New Roman" w:hAnsiTheme="majorHAnsi" w:cstheme="majorHAnsi"/>
                <w:sz w:val="28"/>
                <w:szCs w:val="28"/>
                <w:lang w:val="en-US"/>
              </w:rPr>
            </w:pPr>
          </w:p>
        </w:tc>
        <w:tc>
          <w:tcPr>
            <w:tcW w:w="5812" w:type="dxa"/>
          </w:tcPr>
          <w:p w:rsidR="007D123D" w:rsidRPr="005F55C7" w:rsidRDefault="007D123D" w:rsidP="006E7A95">
            <w:pPr>
              <w:spacing w:after="120"/>
              <w:jc w:val="both"/>
              <w:rPr>
                <w:rFonts w:asciiTheme="majorHAnsi" w:hAnsiTheme="majorHAnsi" w:cstheme="majorHAnsi"/>
                <w:b/>
                <w:sz w:val="28"/>
                <w:szCs w:val="28"/>
                <w:lang w:val="es-ES_tradnl"/>
              </w:rPr>
            </w:pPr>
            <w:r w:rsidRPr="005F55C7">
              <w:rPr>
                <w:rFonts w:asciiTheme="majorHAnsi" w:hAnsiTheme="majorHAnsi" w:cstheme="majorHAnsi"/>
                <w:b/>
                <w:sz w:val="28"/>
                <w:szCs w:val="28"/>
                <w:lang w:val="es-ES_tradnl"/>
              </w:rPr>
              <w:lastRenderedPageBreak/>
              <w:t>Điều 37. Hồ sơ giám định tư pháp</w:t>
            </w:r>
          </w:p>
          <w:p w:rsidR="007D123D" w:rsidRPr="005F55C7" w:rsidRDefault="007D123D" w:rsidP="006E7A95">
            <w:pPr>
              <w:spacing w:after="120"/>
              <w:jc w:val="both"/>
              <w:rPr>
                <w:rFonts w:asciiTheme="majorHAnsi" w:hAnsiTheme="majorHAnsi" w:cstheme="majorHAnsi"/>
                <w:spacing w:val="6"/>
                <w:sz w:val="28"/>
                <w:szCs w:val="28"/>
                <w:lang w:val="nl-NL"/>
              </w:rPr>
            </w:pPr>
            <w:r w:rsidRPr="005F55C7">
              <w:rPr>
                <w:rFonts w:asciiTheme="majorHAnsi" w:hAnsiTheme="majorHAnsi" w:cstheme="majorHAnsi"/>
                <w:spacing w:val="6"/>
                <w:sz w:val="28"/>
                <w:szCs w:val="28"/>
                <w:lang w:val="nl-NL"/>
              </w:rPr>
              <w:t>1. Hồ sơ giám định tư pháp do người thực hiện giám định tư pháp lập bao gồm:</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 xml:space="preserve">a) </w:t>
            </w:r>
            <w:r w:rsidRPr="005F55C7">
              <w:rPr>
                <w:rFonts w:asciiTheme="majorHAnsi" w:hAnsiTheme="majorHAnsi" w:cstheme="majorHAnsi"/>
                <w:sz w:val="28"/>
                <w:szCs w:val="28"/>
                <w:lang w:val="es-ES_tradnl"/>
              </w:rPr>
              <w:t>Hồ sơ trưng cầu, yêu cầu giám định</w:t>
            </w:r>
            <w:r w:rsidRPr="005F55C7">
              <w:rPr>
                <w:rFonts w:asciiTheme="majorHAnsi" w:hAnsiTheme="majorHAnsi" w:cstheme="majorHAnsi"/>
                <w:sz w:val="28"/>
                <w:szCs w:val="28"/>
                <w:lang w:val="nl-NL"/>
              </w:rPr>
              <w:t>;</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b) Biên bản giao, nhận hồ sơ trưng cầu, yêu cầu giám định;</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lastRenderedPageBreak/>
              <w:t>c) Văn bản hoặc phương tiện lưu trữ dữ liệu điện tử ghi nhận quá trình thực hiện giám định;</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d) Bản ảnh giám định (nếu có);</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đ) Kết luận giám định trước đó hoặc kết quả xét nghiệm, thực nghiệm giám định do người khác thực hiện (nếu có);</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e) Tài liệu khác có liên quan đến việc giám định (nếu có);</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g) Kết luận giám định tư pháp.</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 xml:space="preserve">2. Bộ trưởng, Thủ trưởng cơ quan ngang Bộ có trách nhiệm quy định chi tiết thành phần hồ sơ từng loại việc giám định và chế độ lưu trữ hồ sơ giám định tư pháp ở lĩnh vực thuộc thẩm quyền quản lý. </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3. Tổ chức giám định tư pháp thực hiện giám định chịu trách nhiệm bảo quản, lưu trữ hồ sơ giám định tư pháp do người giám định thuộc tổ chức mình thực hiện theo quy định của pháp luật về lưu trữ.</w:t>
            </w:r>
          </w:p>
          <w:p w:rsidR="007D123D" w:rsidRPr="005F55C7" w:rsidRDefault="007D123D" w:rsidP="006E7A95">
            <w:pPr>
              <w:spacing w:after="120"/>
              <w:jc w:val="both"/>
              <w:rPr>
                <w:rFonts w:asciiTheme="majorHAnsi" w:hAnsiTheme="majorHAnsi" w:cstheme="majorHAnsi"/>
                <w:sz w:val="28"/>
                <w:szCs w:val="28"/>
                <w:lang w:val="nl-NL"/>
              </w:rPr>
            </w:pPr>
            <w:r w:rsidRPr="005F55C7">
              <w:rPr>
                <w:rFonts w:asciiTheme="majorHAnsi" w:hAnsiTheme="majorHAnsi" w:cstheme="majorHAnsi"/>
                <w:sz w:val="28"/>
                <w:szCs w:val="28"/>
                <w:lang w:val="nl-NL"/>
              </w:rPr>
              <w:t>Người thực hiện giám định có trách nhiệm bàn giao hồ sơ giám định tư pháp cho cơ quan, đơn vị, tổ chức quản lý trực tiếp theo quy định của pháp luật về lưu trữ.</w:t>
            </w:r>
          </w:p>
          <w:p w:rsidR="00B225EA" w:rsidRPr="005F55C7" w:rsidRDefault="007D123D" w:rsidP="006E7A95">
            <w:pPr>
              <w:spacing w:after="120"/>
              <w:jc w:val="both"/>
              <w:rPr>
                <w:rFonts w:asciiTheme="majorHAnsi" w:hAnsiTheme="majorHAnsi" w:cstheme="majorHAnsi"/>
                <w:b/>
                <w:sz w:val="28"/>
                <w:szCs w:val="28"/>
                <w:lang w:val="nl-NL"/>
              </w:rPr>
            </w:pPr>
            <w:r w:rsidRPr="005F55C7">
              <w:rPr>
                <w:rFonts w:asciiTheme="majorHAnsi" w:hAnsiTheme="majorHAnsi" w:cstheme="majorHAnsi"/>
                <w:sz w:val="28"/>
                <w:szCs w:val="28"/>
                <w:lang w:val="nl-NL"/>
              </w:rPr>
              <w:lastRenderedPageBreak/>
              <w:t>4. Hồ sơ giám định tư pháp được xuất trình khi có yêu cầu của người trưng cầu giám định tư pháp.</w:t>
            </w:r>
          </w:p>
        </w:tc>
        <w:tc>
          <w:tcPr>
            <w:tcW w:w="1701" w:type="dxa"/>
          </w:tcPr>
          <w:p w:rsidR="00B225EA" w:rsidRPr="005F55C7" w:rsidRDefault="00D30188" w:rsidP="006E7A95">
            <w:pPr>
              <w:spacing w:after="120"/>
              <w:jc w:val="both"/>
              <w:rPr>
                <w:rFonts w:asciiTheme="majorHAnsi" w:hAnsiTheme="majorHAnsi" w:cstheme="majorHAnsi"/>
                <w:sz w:val="28"/>
                <w:szCs w:val="28"/>
              </w:rPr>
            </w:pPr>
            <w:r w:rsidRPr="005F55C7">
              <w:rPr>
                <w:rFonts w:asciiTheme="majorHAnsi" w:hAnsiTheme="majorHAnsi" w:cstheme="majorHAnsi"/>
                <w:sz w:val="28"/>
                <w:szCs w:val="28"/>
              </w:rPr>
              <w:lastRenderedPageBreak/>
              <w:t xml:space="preserve">Đã </w:t>
            </w:r>
            <w:r w:rsidRPr="005F55C7">
              <w:rPr>
                <w:rFonts w:asciiTheme="majorHAnsi" w:hAnsiTheme="majorHAnsi" w:cstheme="majorHAnsi"/>
                <w:sz w:val="28"/>
                <w:szCs w:val="28"/>
                <w:lang w:val="en-US"/>
              </w:rPr>
              <w:t>quy định chi tiết nội dung Luật giao</w:t>
            </w:r>
            <w:r w:rsidRPr="005F55C7">
              <w:rPr>
                <w:rFonts w:asciiTheme="majorHAnsi" w:hAnsiTheme="majorHAnsi" w:cstheme="majorHAnsi"/>
                <w:sz w:val="28"/>
                <w:szCs w:val="28"/>
              </w:rPr>
              <w:t>.</w:t>
            </w:r>
          </w:p>
        </w:tc>
        <w:tc>
          <w:tcPr>
            <w:tcW w:w="992" w:type="dxa"/>
          </w:tcPr>
          <w:p w:rsidR="00B225EA" w:rsidRPr="005F55C7" w:rsidRDefault="00B225EA" w:rsidP="006E7A95">
            <w:pPr>
              <w:spacing w:after="120"/>
              <w:jc w:val="both"/>
              <w:rPr>
                <w:rFonts w:asciiTheme="majorHAnsi" w:hAnsiTheme="majorHAnsi" w:cstheme="majorHAnsi"/>
                <w:sz w:val="28"/>
                <w:szCs w:val="28"/>
              </w:rPr>
            </w:pPr>
          </w:p>
        </w:tc>
      </w:tr>
    </w:tbl>
    <w:p w:rsidR="00386898" w:rsidRPr="005F55C7" w:rsidRDefault="00386898" w:rsidP="006E7A95">
      <w:pPr>
        <w:spacing w:after="120" w:line="240" w:lineRule="auto"/>
        <w:jc w:val="both"/>
        <w:rPr>
          <w:rFonts w:asciiTheme="majorHAnsi" w:hAnsiTheme="majorHAnsi" w:cstheme="majorHAnsi"/>
          <w:b/>
          <w:sz w:val="28"/>
          <w:szCs w:val="28"/>
          <w:lang w:val="en-US"/>
        </w:rPr>
      </w:pPr>
      <w:bookmarkStart w:id="0" w:name="_GoBack"/>
      <w:bookmarkEnd w:id="0"/>
    </w:p>
    <w:p w:rsidR="00D1679D" w:rsidRPr="005F55C7" w:rsidRDefault="0096251D" w:rsidP="00A96512">
      <w:pPr>
        <w:spacing w:after="0" w:line="320" w:lineRule="exact"/>
        <w:jc w:val="right"/>
        <w:rPr>
          <w:rFonts w:asciiTheme="majorHAnsi" w:hAnsiTheme="majorHAnsi" w:cstheme="majorHAnsi"/>
          <w:b/>
          <w:sz w:val="28"/>
          <w:szCs w:val="28"/>
          <w:lang w:val="en-US"/>
        </w:rPr>
      </w:pPr>
      <w:r w:rsidRPr="005F55C7">
        <w:rPr>
          <w:rFonts w:asciiTheme="majorHAnsi" w:hAnsiTheme="majorHAnsi" w:cstheme="majorHAnsi"/>
          <w:b/>
          <w:sz w:val="28"/>
          <w:szCs w:val="28"/>
          <w:lang w:val="en-US"/>
        </w:rPr>
        <w:t>VIỆN KHOA HỌC HÌNH SỰ</w:t>
      </w:r>
    </w:p>
    <w:p w:rsidR="00015CDB" w:rsidRPr="005F55C7" w:rsidRDefault="00015CDB" w:rsidP="003B0449">
      <w:pPr>
        <w:spacing w:after="0" w:line="320" w:lineRule="exact"/>
        <w:rPr>
          <w:rFonts w:asciiTheme="majorHAnsi" w:hAnsiTheme="majorHAnsi" w:cstheme="majorHAnsi"/>
          <w:sz w:val="28"/>
          <w:szCs w:val="28"/>
        </w:rPr>
      </w:pPr>
    </w:p>
    <w:p w:rsidR="00015CDB" w:rsidRPr="005F55C7" w:rsidRDefault="00015CDB" w:rsidP="003B0449">
      <w:pPr>
        <w:spacing w:after="0" w:line="320" w:lineRule="exact"/>
        <w:jc w:val="both"/>
        <w:rPr>
          <w:rFonts w:asciiTheme="majorHAnsi" w:hAnsiTheme="majorHAnsi" w:cstheme="majorHAnsi"/>
          <w:sz w:val="28"/>
          <w:szCs w:val="28"/>
        </w:rPr>
      </w:pPr>
    </w:p>
    <w:sectPr w:rsidR="00015CDB" w:rsidRPr="005F55C7" w:rsidSect="00B225EA">
      <w:headerReference w:type="default" r:id="rId8"/>
      <w:pgSz w:w="16838" w:h="11906"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71B" w:rsidRDefault="0020371B" w:rsidP="00DF5FC0">
      <w:pPr>
        <w:spacing w:after="0" w:line="240" w:lineRule="auto"/>
      </w:pPr>
      <w:r>
        <w:separator/>
      </w:r>
    </w:p>
  </w:endnote>
  <w:endnote w:type="continuationSeparator" w:id="0">
    <w:p w:rsidR="0020371B" w:rsidRDefault="0020371B" w:rsidP="00DF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71B" w:rsidRDefault="0020371B" w:rsidP="00DF5FC0">
      <w:pPr>
        <w:spacing w:after="0" w:line="240" w:lineRule="auto"/>
      </w:pPr>
      <w:r>
        <w:separator/>
      </w:r>
    </w:p>
  </w:footnote>
  <w:footnote w:type="continuationSeparator" w:id="0">
    <w:p w:rsidR="0020371B" w:rsidRDefault="0020371B" w:rsidP="00DF5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432762"/>
      <w:docPartObj>
        <w:docPartGallery w:val="Page Numbers (Top of Page)"/>
        <w:docPartUnique/>
      </w:docPartObj>
    </w:sdtPr>
    <w:sdtEndPr>
      <w:rPr>
        <w:noProof/>
      </w:rPr>
    </w:sdtEndPr>
    <w:sdtContent>
      <w:p w:rsidR="00E86CBE" w:rsidRDefault="00E86CBE">
        <w:pPr>
          <w:pStyle w:val="Header"/>
          <w:jc w:val="center"/>
        </w:pPr>
        <w:r>
          <w:fldChar w:fldCharType="begin"/>
        </w:r>
        <w:r>
          <w:instrText xml:space="preserve"> PAGE   \* MERGEFORMAT </w:instrText>
        </w:r>
        <w:r>
          <w:fldChar w:fldCharType="separate"/>
        </w:r>
        <w:r w:rsidR="00137020">
          <w:rPr>
            <w:noProof/>
          </w:rPr>
          <w:t>5</w:t>
        </w:r>
        <w:r>
          <w:rPr>
            <w:noProof/>
          </w:rPr>
          <w:fldChar w:fldCharType="end"/>
        </w:r>
      </w:p>
    </w:sdtContent>
  </w:sdt>
  <w:p w:rsidR="00E86CBE" w:rsidRDefault="00E86C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2671"/>
    <w:multiLevelType w:val="hybridMultilevel"/>
    <w:tmpl w:val="2EE0A914"/>
    <w:lvl w:ilvl="0" w:tplc="BA3887E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07C39DF"/>
    <w:multiLevelType w:val="hybridMultilevel"/>
    <w:tmpl w:val="2E164FF2"/>
    <w:lvl w:ilvl="0" w:tplc="7054A48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8821412"/>
    <w:multiLevelType w:val="hybridMultilevel"/>
    <w:tmpl w:val="2D5C85EE"/>
    <w:lvl w:ilvl="0" w:tplc="8C00882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81"/>
    <w:rsid w:val="0000111A"/>
    <w:rsid w:val="0000464E"/>
    <w:rsid w:val="00005FDE"/>
    <w:rsid w:val="00015CDB"/>
    <w:rsid w:val="00020245"/>
    <w:rsid w:val="00022E26"/>
    <w:rsid w:val="00025C5A"/>
    <w:rsid w:val="00032172"/>
    <w:rsid w:val="0004449C"/>
    <w:rsid w:val="000637B9"/>
    <w:rsid w:val="00077F5A"/>
    <w:rsid w:val="00085CFD"/>
    <w:rsid w:val="00086990"/>
    <w:rsid w:val="0009049F"/>
    <w:rsid w:val="00092227"/>
    <w:rsid w:val="0009350B"/>
    <w:rsid w:val="000A0F47"/>
    <w:rsid w:val="000A29C6"/>
    <w:rsid w:val="000B3881"/>
    <w:rsid w:val="000B6D1C"/>
    <w:rsid w:val="000C46C1"/>
    <w:rsid w:val="000E4CC2"/>
    <w:rsid w:val="000F07B9"/>
    <w:rsid w:val="00103757"/>
    <w:rsid w:val="001061B4"/>
    <w:rsid w:val="001072FB"/>
    <w:rsid w:val="001155D8"/>
    <w:rsid w:val="00124A64"/>
    <w:rsid w:val="00133AF1"/>
    <w:rsid w:val="00137020"/>
    <w:rsid w:val="00153BC1"/>
    <w:rsid w:val="001573AA"/>
    <w:rsid w:val="00162E4D"/>
    <w:rsid w:val="001751B4"/>
    <w:rsid w:val="00177867"/>
    <w:rsid w:val="00177924"/>
    <w:rsid w:val="00196ADA"/>
    <w:rsid w:val="001A1F2D"/>
    <w:rsid w:val="001B3F3F"/>
    <w:rsid w:val="001B5A20"/>
    <w:rsid w:val="001C3370"/>
    <w:rsid w:val="001C5898"/>
    <w:rsid w:val="001D0AD2"/>
    <w:rsid w:val="001D5A30"/>
    <w:rsid w:val="001E1453"/>
    <w:rsid w:val="001E21C7"/>
    <w:rsid w:val="0020371B"/>
    <w:rsid w:val="002073F4"/>
    <w:rsid w:val="002122D8"/>
    <w:rsid w:val="00212BE3"/>
    <w:rsid w:val="002312B0"/>
    <w:rsid w:val="00240435"/>
    <w:rsid w:val="002443B0"/>
    <w:rsid w:val="00251F50"/>
    <w:rsid w:val="002639C0"/>
    <w:rsid w:val="00273817"/>
    <w:rsid w:val="002912E6"/>
    <w:rsid w:val="002A3D67"/>
    <w:rsid w:val="002B3692"/>
    <w:rsid w:val="002C2C82"/>
    <w:rsid w:val="002C5EDD"/>
    <w:rsid w:val="002C5EF8"/>
    <w:rsid w:val="002C6614"/>
    <w:rsid w:val="002D2BBD"/>
    <w:rsid w:val="00304E05"/>
    <w:rsid w:val="00305488"/>
    <w:rsid w:val="00312E56"/>
    <w:rsid w:val="00314429"/>
    <w:rsid w:val="003168BA"/>
    <w:rsid w:val="00322E6B"/>
    <w:rsid w:val="00324728"/>
    <w:rsid w:val="0033122D"/>
    <w:rsid w:val="00344962"/>
    <w:rsid w:val="00350132"/>
    <w:rsid w:val="00351372"/>
    <w:rsid w:val="0035326E"/>
    <w:rsid w:val="00367BDC"/>
    <w:rsid w:val="003750C4"/>
    <w:rsid w:val="00386898"/>
    <w:rsid w:val="003A04F5"/>
    <w:rsid w:val="003B0307"/>
    <w:rsid w:val="003B0449"/>
    <w:rsid w:val="003B58D5"/>
    <w:rsid w:val="003C587F"/>
    <w:rsid w:val="003D3CC5"/>
    <w:rsid w:val="003D7774"/>
    <w:rsid w:val="003E5F2C"/>
    <w:rsid w:val="003E6902"/>
    <w:rsid w:val="003E79EA"/>
    <w:rsid w:val="003F0F2C"/>
    <w:rsid w:val="003F416B"/>
    <w:rsid w:val="003F666D"/>
    <w:rsid w:val="004046B8"/>
    <w:rsid w:val="00410607"/>
    <w:rsid w:val="00411C33"/>
    <w:rsid w:val="004145CD"/>
    <w:rsid w:val="00414B79"/>
    <w:rsid w:val="004205CE"/>
    <w:rsid w:val="004428FD"/>
    <w:rsid w:val="00447363"/>
    <w:rsid w:val="00450F91"/>
    <w:rsid w:val="0045601E"/>
    <w:rsid w:val="00476795"/>
    <w:rsid w:val="0048201C"/>
    <w:rsid w:val="004924A7"/>
    <w:rsid w:val="00492DF6"/>
    <w:rsid w:val="004B03D2"/>
    <w:rsid w:val="004B7E3D"/>
    <w:rsid w:val="004C0761"/>
    <w:rsid w:val="004C2CA1"/>
    <w:rsid w:val="004C65AE"/>
    <w:rsid w:val="004D4EDC"/>
    <w:rsid w:val="004F427B"/>
    <w:rsid w:val="0052286F"/>
    <w:rsid w:val="00532827"/>
    <w:rsid w:val="005410E5"/>
    <w:rsid w:val="00551AED"/>
    <w:rsid w:val="00556529"/>
    <w:rsid w:val="005660C3"/>
    <w:rsid w:val="0056793A"/>
    <w:rsid w:val="00580ECE"/>
    <w:rsid w:val="00587F0D"/>
    <w:rsid w:val="00590043"/>
    <w:rsid w:val="00596A2F"/>
    <w:rsid w:val="005A594E"/>
    <w:rsid w:val="005C0F25"/>
    <w:rsid w:val="005C5692"/>
    <w:rsid w:val="005E0421"/>
    <w:rsid w:val="005E267D"/>
    <w:rsid w:val="005E2F67"/>
    <w:rsid w:val="005E4ED5"/>
    <w:rsid w:val="005F55C7"/>
    <w:rsid w:val="005F773C"/>
    <w:rsid w:val="00610213"/>
    <w:rsid w:val="00623029"/>
    <w:rsid w:val="0063479A"/>
    <w:rsid w:val="00640352"/>
    <w:rsid w:val="00640D04"/>
    <w:rsid w:val="00641738"/>
    <w:rsid w:val="00642595"/>
    <w:rsid w:val="00667650"/>
    <w:rsid w:val="00667E68"/>
    <w:rsid w:val="006724BD"/>
    <w:rsid w:val="00674527"/>
    <w:rsid w:val="00681716"/>
    <w:rsid w:val="006A3656"/>
    <w:rsid w:val="006C0733"/>
    <w:rsid w:val="006C08A0"/>
    <w:rsid w:val="006C54E8"/>
    <w:rsid w:val="006E7A95"/>
    <w:rsid w:val="006F30E2"/>
    <w:rsid w:val="00704F29"/>
    <w:rsid w:val="00706356"/>
    <w:rsid w:val="007124C0"/>
    <w:rsid w:val="00716804"/>
    <w:rsid w:val="00741367"/>
    <w:rsid w:val="0075086E"/>
    <w:rsid w:val="00761818"/>
    <w:rsid w:val="00782445"/>
    <w:rsid w:val="0078299E"/>
    <w:rsid w:val="007855F4"/>
    <w:rsid w:val="007A3A96"/>
    <w:rsid w:val="007B0E62"/>
    <w:rsid w:val="007B2451"/>
    <w:rsid w:val="007D123D"/>
    <w:rsid w:val="007D4E02"/>
    <w:rsid w:val="007D7343"/>
    <w:rsid w:val="007E22C7"/>
    <w:rsid w:val="007F6844"/>
    <w:rsid w:val="00802827"/>
    <w:rsid w:val="00804C19"/>
    <w:rsid w:val="00807B59"/>
    <w:rsid w:val="0082009A"/>
    <w:rsid w:val="008225AA"/>
    <w:rsid w:val="0084307C"/>
    <w:rsid w:val="00847EE9"/>
    <w:rsid w:val="008520C7"/>
    <w:rsid w:val="008552A2"/>
    <w:rsid w:val="00860948"/>
    <w:rsid w:val="00877BAC"/>
    <w:rsid w:val="008812EB"/>
    <w:rsid w:val="00885270"/>
    <w:rsid w:val="008918A1"/>
    <w:rsid w:val="00891FB1"/>
    <w:rsid w:val="008A3B37"/>
    <w:rsid w:val="008A45A8"/>
    <w:rsid w:val="008B6959"/>
    <w:rsid w:val="008B77CE"/>
    <w:rsid w:val="008C5759"/>
    <w:rsid w:val="008C6805"/>
    <w:rsid w:val="008D0CBD"/>
    <w:rsid w:val="008F14B8"/>
    <w:rsid w:val="00902DD4"/>
    <w:rsid w:val="009166FF"/>
    <w:rsid w:val="00941B62"/>
    <w:rsid w:val="0095593E"/>
    <w:rsid w:val="00955D3B"/>
    <w:rsid w:val="0096251D"/>
    <w:rsid w:val="009633C2"/>
    <w:rsid w:val="0097060A"/>
    <w:rsid w:val="00983F4B"/>
    <w:rsid w:val="009977A2"/>
    <w:rsid w:val="009A5A63"/>
    <w:rsid w:val="009D5917"/>
    <w:rsid w:val="009E7494"/>
    <w:rsid w:val="009F358C"/>
    <w:rsid w:val="009F493C"/>
    <w:rsid w:val="00A11BD9"/>
    <w:rsid w:val="00A274A2"/>
    <w:rsid w:val="00A30427"/>
    <w:rsid w:val="00A32ECD"/>
    <w:rsid w:val="00A35131"/>
    <w:rsid w:val="00A400B6"/>
    <w:rsid w:val="00A401AC"/>
    <w:rsid w:val="00A509CC"/>
    <w:rsid w:val="00A66095"/>
    <w:rsid w:val="00A7765B"/>
    <w:rsid w:val="00A953D2"/>
    <w:rsid w:val="00A96512"/>
    <w:rsid w:val="00AC2EFF"/>
    <w:rsid w:val="00AE2201"/>
    <w:rsid w:val="00AE3067"/>
    <w:rsid w:val="00AE3FD1"/>
    <w:rsid w:val="00AE436E"/>
    <w:rsid w:val="00AF4118"/>
    <w:rsid w:val="00B0163E"/>
    <w:rsid w:val="00B02F33"/>
    <w:rsid w:val="00B1707D"/>
    <w:rsid w:val="00B21AB2"/>
    <w:rsid w:val="00B225EA"/>
    <w:rsid w:val="00B239E4"/>
    <w:rsid w:val="00B3078D"/>
    <w:rsid w:val="00B32661"/>
    <w:rsid w:val="00B326BE"/>
    <w:rsid w:val="00B3539C"/>
    <w:rsid w:val="00B44DB4"/>
    <w:rsid w:val="00B471E8"/>
    <w:rsid w:val="00B602DB"/>
    <w:rsid w:val="00B82088"/>
    <w:rsid w:val="00B83D08"/>
    <w:rsid w:val="00B867DD"/>
    <w:rsid w:val="00B8744C"/>
    <w:rsid w:val="00BA110D"/>
    <w:rsid w:val="00BA42E8"/>
    <w:rsid w:val="00BA7F5F"/>
    <w:rsid w:val="00BB3625"/>
    <w:rsid w:val="00BB4D36"/>
    <w:rsid w:val="00BB5D9B"/>
    <w:rsid w:val="00BB6EB5"/>
    <w:rsid w:val="00BC4D4C"/>
    <w:rsid w:val="00BF17E3"/>
    <w:rsid w:val="00BF3D4B"/>
    <w:rsid w:val="00C02521"/>
    <w:rsid w:val="00C04FB8"/>
    <w:rsid w:val="00C057CD"/>
    <w:rsid w:val="00C12EFF"/>
    <w:rsid w:val="00C14939"/>
    <w:rsid w:val="00C1727F"/>
    <w:rsid w:val="00C230A3"/>
    <w:rsid w:val="00C44D42"/>
    <w:rsid w:val="00C5286B"/>
    <w:rsid w:val="00C61B5E"/>
    <w:rsid w:val="00C95764"/>
    <w:rsid w:val="00CA7BDD"/>
    <w:rsid w:val="00CB4815"/>
    <w:rsid w:val="00CD390C"/>
    <w:rsid w:val="00CD6416"/>
    <w:rsid w:val="00D10408"/>
    <w:rsid w:val="00D10FC3"/>
    <w:rsid w:val="00D1679D"/>
    <w:rsid w:val="00D16837"/>
    <w:rsid w:val="00D30188"/>
    <w:rsid w:val="00D334A3"/>
    <w:rsid w:val="00D34DCE"/>
    <w:rsid w:val="00D44EC5"/>
    <w:rsid w:val="00D46F51"/>
    <w:rsid w:val="00D67650"/>
    <w:rsid w:val="00D820DE"/>
    <w:rsid w:val="00D83C63"/>
    <w:rsid w:val="00D87CE1"/>
    <w:rsid w:val="00D90A7C"/>
    <w:rsid w:val="00D91DB4"/>
    <w:rsid w:val="00DA0E5A"/>
    <w:rsid w:val="00DA1A4E"/>
    <w:rsid w:val="00DA59AD"/>
    <w:rsid w:val="00DA6909"/>
    <w:rsid w:val="00DB592A"/>
    <w:rsid w:val="00DC7872"/>
    <w:rsid w:val="00DF5A25"/>
    <w:rsid w:val="00DF5F4C"/>
    <w:rsid w:val="00DF5FC0"/>
    <w:rsid w:val="00E000B3"/>
    <w:rsid w:val="00E04E59"/>
    <w:rsid w:val="00E20981"/>
    <w:rsid w:val="00E25EF2"/>
    <w:rsid w:val="00E32DA1"/>
    <w:rsid w:val="00E42323"/>
    <w:rsid w:val="00E61C1E"/>
    <w:rsid w:val="00E6265F"/>
    <w:rsid w:val="00E632E3"/>
    <w:rsid w:val="00E86CBE"/>
    <w:rsid w:val="00EA2B56"/>
    <w:rsid w:val="00EB147F"/>
    <w:rsid w:val="00EB39F1"/>
    <w:rsid w:val="00EB7D8C"/>
    <w:rsid w:val="00EC22FE"/>
    <w:rsid w:val="00EC706D"/>
    <w:rsid w:val="00F0354F"/>
    <w:rsid w:val="00F04D91"/>
    <w:rsid w:val="00F15CF1"/>
    <w:rsid w:val="00F1600B"/>
    <w:rsid w:val="00F1714F"/>
    <w:rsid w:val="00F20FF8"/>
    <w:rsid w:val="00F256CB"/>
    <w:rsid w:val="00F37D42"/>
    <w:rsid w:val="00F435FD"/>
    <w:rsid w:val="00F525A9"/>
    <w:rsid w:val="00F5785D"/>
    <w:rsid w:val="00F622E0"/>
    <w:rsid w:val="00F737CC"/>
    <w:rsid w:val="00F75890"/>
    <w:rsid w:val="00F80ADD"/>
    <w:rsid w:val="00F8643B"/>
    <w:rsid w:val="00F86BAD"/>
    <w:rsid w:val="00F94F74"/>
    <w:rsid w:val="00F95401"/>
    <w:rsid w:val="00F965C5"/>
    <w:rsid w:val="00FA1F63"/>
    <w:rsid w:val="00FB4FF4"/>
    <w:rsid w:val="00FC31EF"/>
    <w:rsid w:val="00FC7870"/>
    <w:rsid w:val="00FD00BD"/>
    <w:rsid w:val="00FD6461"/>
    <w:rsid w:val="00FD7CB2"/>
    <w:rsid w:val="00FE6386"/>
    <w:rsid w:val="00FE76AB"/>
    <w:rsid w:val="00FF1EC2"/>
    <w:rsid w:val="00FF2B0F"/>
    <w:rsid w:val="00FF3900"/>
    <w:rsid w:val="00FF48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8195"/>
  <w15:docId w15:val="{F3A7B2E7-C11E-4B98-A2CD-22B71E96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981"/>
    <w:pPr>
      <w:ind w:left="720"/>
      <w:contextualSpacing/>
    </w:pPr>
  </w:style>
  <w:style w:type="table" w:styleId="TableGrid">
    <w:name w:val="Table Grid"/>
    <w:basedOn w:val="TableNormal"/>
    <w:uiPriority w:val="59"/>
    <w:rsid w:val="00E2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uiPriority w:val="99"/>
    <w:qFormat/>
    <w:rsid w:val="00DF5FC0"/>
    <w:pPr>
      <w:autoSpaceDE w:val="0"/>
      <w:autoSpaceDN w:val="0"/>
      <w:spacing w:after="0" w:line="240" w:lineRule="auto"/>
      <w:jc w:val="both"/>
    </w:pPr>
    <w:rPr>
      <w:rFonts w:ascii="Times New Roman" w:eastAsia="Times New Roman" w:hAnsi="Times New Roman" w:cs="Times New Roman"/>
      <w:sz w:val="20"/>
      <w:szCs w:val="20"/>
      <w:lang w:val="en-US"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uiPriority w:val="99"/>
    <w:rsid w:val="00DF5FC0"/>
    <w:rPr>
      <w:rFonts w:ascii="Times New Roman" w:eastAsia="Times New Roman" w:hAnsi="Times New Roman" w:cs="Times New Roman"/>
      <w:sz w:val="20"/>
      <w:szCs w:val="20"/>
      <w:lang w:val="en-US" w:eastAsia="x-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uiPriority w:val="99"/>
    <w:qFormat/>
    <w:rsid w:val="00DF5FC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F5FC0"/>
    <w:pPr>
      <w:spacing w:before="100" w:after="0" w:line="240" w:lineRule="exact"/>
    </w:pPr>
    <w:rPr>
      <w:vertAlign w:val="superscript"/>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Char"/>
    <w:basedOn w:val="Normal"/>
    <w:link w:val="NormalWebChar"/>
    <w:uiPriority w:val="99"/>
    <w:unhideWhenUsed/>
    <w:qFormat/>
    <w:rsid w:val="002312B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B0163E"/>
    <w:rPr>
      <w:color w:val="0000FF"/>
      <w:u w:val="single"/>
    </w:rPr>
  </w:style>
  <w:style w:type="paragraph" w:styleId="Header">
    <w:name w:val="header"/>
    <w:basedOn w:val="Normal"/>
    <w:link w:val="HeaderChar"/>
    <w:uiPriority w:val="99"/>
    <w:unhideWhenUsed/>
    <w:rsid w:val="009F4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93C"/>
  </w:style>
  <w:style w:type="paragraph" w:styleId="Footer">
    <w:name w:val="footer"/>
    <w:basedOn w:val="Normal"/>
    <w:link w:val="FooterChar"/>
    <w:uiPriority w:val="99"/>
    <w:unhideWhenUsed/>
    <w:rsid w:val="009F4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93C"/>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4428FD"/>
    <w:rPr>
      <w:rFonts w:ascii="Times New Roman" w:eastAsia="Times New Roman" w:hAnsi="Times New Roman" w:cs="Times New Roman"/>
      <w:sz w:val="24"/>
      <w:szCs w:val="24"/>
      <w:lang w:eastAsia="vi-VN"/>
    </w:rPr>
  </w:style>
  <w:style w:type="paragraph" w:customStyle="1" w:styleId="n-dieund">
    <w:name w:val="n-dieund"/>
    <w:basedOn w:val="Normal"/>
    <w:rsid w:val="00447363"/>
    <w:pPr>
      <w:widowControl w:val="0"/>
      <w:spacing w:after="120" w:line="240" w:lineRule="auto"/>
      <w:ind w:firstLine="709"/>
      <w:jc w:val="both"/>
    </w:pPr>
    <w:rPr>
      <w:rFonts w:ascii=".VnTime" w:eastAsia="Times New Roman" w:hAnsi=".VnTime" w:cs="Times New Roman"/>
      <w:color w:val="0000FF"/>
      <w:sz w:val="28"/>
      <w:szCs w:val="28"/>
      <w:lang w:val="en-US"/>
    </w:rPr>
  </w:style>
  <w:style w:type="paragraph" w:styleId="PlainText">
    <w:name w:val="Plain Text"/>
    <w:basedOn w:val="Normal"/>
    <w:link w:val="PlainTextChar"/>
    <w:unhideWhenUsed/>
    <w:rsid w:val="00E86CBE"/>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E86CBE"/>
    <w:rPr>
      <w:rFonts w:ascii="Courier New" w:eastAsia="Times New Roman" w:hAnsi="Courier New" w:cs="Times New Roman"/>
      <w:sz w:val="20"/>
      <w:szCs w:val="20"/>
      <w:lang w:val="x-none" w:eastAsia="x-none"/>
    </w:rPr>
  </w:style>
  <w:style w:type="character" w:styleId="Strong">
    <w:name w:val="Strong"/>
    <w:basedOn w:val="DefaultParagraphFont"/>
    <w:uiPriority w:val="22"/>
    <w:qFormat/>
    <w:rsid w:val="00124A64"/>
    <w:rPr>
      <w:b/>
      <w:bCs/>
    </w:rPr>
  </w:style>
  <w:style w:type="paragraph" w:styleId="BalloonText">
    <w:name w:val="Balloon Text"/>
    <w:basedOn w:val="Normal"/>
    <w:link w:val="BalloonTextChar"/>
    <w:uiPriority w:val="99"/>
    <w:semiHidden/>
    <w:unhideWhenUsed/>
    <w:rsid w:val="005E2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08752">
      <w:bodyDiv w:val="1"/>
      <w:marLeft w:val="0"/>
      <w:marRight w:val="0"/>
      <w:marTop w:val="0"/>
      <w:marBottom w:val="0"/>
      <w:divBdr>
        <w:top w:val="none" w:sz="0" w:space="0" w:color="auto"/>
        <w:left w:val="none" w:sz="0" w:space="0" w:color="auto"/>
        <w:bottom w:val="none" w:sz="0" w:space="0" w:color="auto"/>
        <w:right w:val="none" w:sz="0" w:space="0" w:color="auto"/>
      </w:divBdr>
    </w:div>
    <w:div w:id="903490834">
      <w:bodyDiv w:val="1"/>
      <w:marLeft w:val="0"/>
      <w:marRight w:val="0"/>
      <w:marTop w:val="0"/>
      <w:marBottom w:val="0"/>
      <w:divBdr>
        <w:top w:val="none" w:sz="0" w:space="0" w:color="auto"/>
        <w:left w:val="none" w:sz="0" w:space="0" w:color="auto"/>
        <w:bottom w:val="none" w:sz="0" w:space="0" w:color="auto"/>
        <w:right w:val="none" w:sz="0" w:space="0" w:color="auto"/>
      </w:divBdr>
    </w:div>
    <w:div w:id="1019239844">
      <w:bodyDiv w:val="1"/>
      <w:marLeft w:val="0"/>
      <w:marRight w:val="0"/>
      <w:marTop w:val="0"/>
      <w:marBottom w:val="0"/>
      <w:divBdr>
        <w:top w:val="none" w:sz="0" w:space="0" w:color="auto"/>
        <w:left w:val="none" w:sz="0" w:space="0" w:color="auto"/>
        <w:bottom w:val="none" w:sz="0" w:space="0" w:color="auto"/>
        <w:right w:val="none" w:sz="0" w:space="0" w:color="auto"/>
      </w:divBdr>
    </w:div>
    <w:div w:id="1084912913">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6B25-40D0-4EE6-B16B-F3B7B2E4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5</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HOANG TRUONG</cp:lastModifiedBy>
  <cp:revision>85</cp:revision>
  <cp:lastPrinted>2025-05-08T08:13:00Z</cp:lastPrinted>
  <dcterms:created xsi:type="dcterms:W3CDTF">2026-03-05T10:03:00Z</dcterms:created>
  <dcterms:modified xsi:type="dcterms:W3CDTF">2026-07-15T02:01:00Z</dcterms:modified>
</cp:coreProperties>
</file>