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82" w:type="dxa"/>
        <w:tblInd w:w="-426" w:type="dxa"/>
        <w:tblLook w:val="01E0" w:firstRow="1" w:lastRow="1" w:firstColumn="1" w:lastColumn="1" w:noHBand="0" w:noVBand="0"/>
      </w:tblPr>
      <w:tblGrid>
        <w:gridCol w:w="4362"/>
        <w:gridCol w:w="5420"/>
      </w:tblGrid>
      <w:tr w:rsidR="0049478F" w:rsidRPr="007769C5" w14:paraId="2EF7534C" w14:textId="77777777" w:rsidTr="00007BAF">
        <w:tc>
          <w:tcPr>
            <w:tcW w:w="4362" w:type="dxa"/>
          </w:tcPr>
          <w:p w14:paraId="2EF75346" w14:textId="6717AFF8" w:rsidR="0049478F" w:rsidRPr="00E67EB3" w:rsidRDefault="0049478F" w:rsidP="00007BAF">
            <w:pPr>
              <w:jc w:val="center"/>
              <w:rPr>
                <w:rFonts w:ascii="Times New Roman Bold" w:eastAsia="Calibri" w:hAnsi="Times New Roman Bold"/>
                <w:b/>
                <w:sz w:val="26"/>
                <w:szCs w:val="26"/>
              </w:rPr>
            </w:pPr>
            <w:r w:rsidRPr="00E67EB3">
              <w:rPr>
                <w:rFonts w:ascii="Times New Roman Bold" w:eastAsia="Calibri" w:hAnsi="Times New Roman Bold"/>
                <w:b/>
                <w:sz w:val="26"/>
                <w:szCs w:val="26"/>
              </w:rPr>
              <w:t xml:space="preserve">BỘ </w:t>
            </w:r>
            <w:r w:rsidR="00E67EB3" w:rsidRPr="00E67EB3">
              <w:rPr>
                <w:rFonts w:ascii="Times New Roman Bold" w:eastAsia="Calibri" w:hAnsi="Times New Roman Bold"/>
                <w:b/>
                <w:sz w:val="26"/>
                <w:szCs w:val="26"/>
                <w:lang w:val="en-US"/>
              </w:rPr>
              <w:t>CÔNG AN</w:t>
            </w:r>
          </w:p>
          <w:p w14:paraId="2EF75347" w14:textId="77777777" w:rsidR="00C04A53" w:rsidRPr="007769C5" w:rsidRDefault="00F004F3" w:rsidP="00373AF9">
            <w:pPr>
              <w:tabs>
                <w:tab w:val="left" w:pos="885"/>
              </w:tabs>
              <w:jc w:val="center"/>
              <w:rPr>
                <w:rFonts w:eastAsia="Calibri"/>
                <w:b/>
              </w:rPr>
            </w:pPr>
            <w:r w:rsidRPr="007769C5">
              <w:rPr>
                <w:rFonts w:eastAsia="Calibri"/>
                <w:b/>
                <w:lang w:val="en-US"/>
              </w:rPr>
              <mc:AlternateContent>
                <mc:Choice Requires="wps">
                  <w:drawing>
                    <wp:anchor distT="0" distB="0" distL="114300" distR="114300" simplePos="0" relativeHeight="251657216" behindDoc="0" locked="0" layoutInCell="1" allowOverlap="1" wp14:anchorId="2EF753B2" wp14:editId="2E686416">
                      <wp:simplePos x="0" y="0"/>
                      <wp:positionH relativeFrom="column">
                        <wp:posOffset>913130</wp:posOffset>
                      </wp:positionH>
                      <wp:positionV relativeFrom="paragraph">
                        <wp:posOffset>25731</wp:posOffset>
                      </wp:positionV>
                      <wp:extent cx="792000" cy="0"/>
                      <wp:effectExtent l="0" t="0" r="2730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6A4E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2.05pt" to="13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p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"/>
                  </w:pict>
                </mc:Fallback>
              </mc:AlternateContent>
            </w:r>
          </w:p>
          <w:p w14:paraId="2EF75348" w14:textId="4136782B" w:rsidR="0049478F" w:rsidRPr="00E67EB3" w:rsidRDefault="002802D6" w:rsidP="00007BAF">
            <w:pPr>
              <w:spacing w:before="240"/>
              <w:jc w:val="center"/>
              <w:rPr>
                <w:rFonts w:eastAsia="Calibri"/>
                <w:lang w:val="en-US"/>
              </w:rPr>
            </w:pPr>
            <w:r w:rsidRPr="00252FB1">
              <w:rPr>
                <w:rFonts w:eastAsia="Calibri"/>
              </w:rPr>
              <w:t xml:space="preserve">Số:       </w:t>
            </w:r>
            <w:r w:rsidR="0079694C" w:rsidRPr="00252FB1">
              <w:rPr>
                <w:rFonts w:eastAsia="Calibri"/>
              </w:rPr>
              <w:t xml:space="preserve">  </w:t>
            </w:r>
            <w:r w:rsidRPr="00252FB1">
              <w:rPr>
                <w:rFonts w:eastAsia="Calibri"/>
              </w:rPr>
              <w:t xml:space="preserve">    </w:t>
            </w:r>
            <w:r w:rsidR="00DC7259" w:rsidRPr="00252FB1">
              <w:rPr>
                <w:rFonts w:eastAsia="Calibri"/>
              </w:rPr>
              <w:t>/TTr</w:t>
            </w:r>
            <w:r w:rsidR="0049478F" w:rsidRPr="00252FB1">
              <w:rPr>
                <w:rFonts w:eastAsia="Calibri"/>
              </w:rPr>
              <w:t>-</w:t>
            </w:r>
            <w:r w:rsidR="00E67EB3">
              <w:rPr>
                <w:rFonts w:eastAsia="Calibri"/>
                <w:lang w:val="en-US"/>
              </w:rPr>
              <w:t>BCA</w:t>
            </w:r>
          </w:p>
        </w:tc>
        <w:tc>
          <w:tcPr>
            <w:tcW w:w="5420" w:type="dxa"/>
          </w:tcPr>
          <w:p w14:paraId="2EF75349" w14:textId="77777777" w:rsidR="0049478F" w:rsidRPr="00007BAF" w:rsidRDefault="0049478F" w:rsidP="00373AF9">
            <w:pPr>
              <w:jc w:val="center"/>
              <w:rPr>
                <w:rFonts w:ascii="Times New Roman Bold" w:eastAsia="Calibri" w:hAnsi="Times New Roman Bold"/>
                <w:b/>
                <w:spacing w:val="-20"/>
                <w:sz w:val="26"/>
                <w:szCs w:val="26"/>
              </w:rPr>
            </w:pPr>
            <w:r w:rsidRPr="00007BAF">
              <w:rPr>
                <w:rFonts w:ascii="Times New Roman Bold" w:eastAsia="Calibri" w:hAnsi="Times New Roman Bold"/>
                <w:b/>
                <w:spacing w:val="-20"/>
                <w:sz w:val="26"/>
                <w:szCs w:val="26"/>
              </w:rPr>
              <w:t xml:space="preserve">CỘNG HOÀ XÃ HỘI CHỦ NGHĨA VIỆT </w:t>
            </w:r>
            <w:smartTag w:uri="urn:schemas-microsoft-com:office:smarttags" w:element="place">
              <w:smartTag w:uri="urn:schemas-microsoft-com:office:smarttags" w:element="country-region">
                <w:r w:rsidRPr="00007BAF">
                  <w:rPr>
                    <w:rFonts w:ascii="Times New Roman Bold" w:eastAsia="Calibri" w:hAnsi="Times New Roman Bold"/>
                    <w:b/>
                    <w:spacing w:val="-20"/>
                    <w:sz w:val="26"/>
                    <w:szCs w:val="26"/>
                  </w:rPr>
                  <w:t>NAM</w:t>
                </w:r>
              </w:smartTag>
            </w:smartTag>
            <w:r w:rsidRPr="00007BAF">
              <w:rPr>
                <w:rFonts w:ascii="Times New Roman Bold" w:eastAsia="Calibri" w:hAnsi="Times New Roman Bold"/>
                <w:b/>
                <w:spacing w:val="-20"/>
                <w:sz w:val="26"/>
                <w:szCs w:val="26"/>
              </w:rPr>
              <w:t xml:space="preserve"> </w:t>
            </w:r>
          </w:p>
          <w:p w14:paraId="2EF7534A" w14:textId="77777777" w:rsidR="0049478F" w:rsidRPr="007769C5" w:rsidRDefault="0049478F" w:rsidP="00373AF9">
            <w:pPr>
              <w:jc w:val="center"/>
              <w:rPr>
                <w:rFonts w:eastAsia="Calibri"/>
                <w:b/>
              </w:rPr>
            </w:pPr>
            <w:r w:rsidRPr="007769C5">
              <w:rPr>
                <w:rFonts w:eastAsia="Calibri"/>
                <w:b/>
              </w:rPr>
              <w:t>Độc lập - Tự do - Hạnh phúc</w:t>
            </w:r>
          </w:p>
          <w:p w14:paraId="2EF7534B" w14:textId="0239D242" w:rsidR="0049478F" w:rsidRPr="00E67EB3" w:rsidRDefault="00F004F3" w:rsidP="00522054">
            <w:pPr>
              <w:spacing w:before="240"/>
              <w:jc w:val="center"/>
              <w:rPr>
                <w:rFonts w:eastAsia="Calibri"/>
                <w:bCs/>
                <w:i/>
                <w:lang w:val="en-US"/>
              </w:rPr>
            </w:pPr>
            <w:r w:rsidRPr="007769C5">
              <w:rPr>
                <w:rFonts w:eastAsia="Calibri"/>
                <w:bCs/>
                <w:lang w:val="en-US"/>
              </w:rPr>
              <mc:AlternateContent>
                <mc:Choice Requires="wps">
                  <w:drawing>
                    <wp:anchor distT="0" distB="0" distL="114300" distR="114300" simplePos="0" relativeHeight="251656192" behindDoc="0" locked="0" layoutInCell="1" allowOverlap="1" wp14:anchorId="2EF753B4" wp14:editId="2300B3D8">
                      <wp:simplePos x="0" y="0"/>
                      <wp:positionH relativeFrom="column">
                        <wp:posOffset>688036</wp:posOffset>
                      </wp:positionH>
                      <wp:positionV relativeFrom="paragraph">
                        <wp:posOffset>20320</wp:posOffset>
                      </wp:positionV>
                      <wp:extent cx="1872000" cy="0"/>
                      <wp:effectExtent l="0" t="0" r="33020" b="1905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72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5E675" id="Line 3"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2pt,1.6pt" to="201.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ThL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"/>
                  </w:pict>
                </mc:Fallback>
              </mc:AlternateContent>
            </w:r>
            <w:r w:rsidR="0049478F" w:rsidRPr="007769C5">
              <w:rPr>
                <w:rFonts w:eastAsia="Calibri"/>
                <w:bCs/>
                <w:i/>
              </w:rPr>
              <w:t>Hà Nộ</w:t>
            </w:r>
            <w:r w:rsidR="00956184">
              <w:rPr>
                <w:rFonts w:eastAsia="Calibri"/>
                <w:bCs/>
                <w:i/>
              </w:rPr>
              <w:t xml:space="preserve">i, ngày  </w:t>
            </w:r>
            <w:r w:rsidR="00956184" w:rsidRPr="00956184">
              <w:rPr>
                <w:rFonts w:eastAsia="Calibri"/>
                <w:bCs/>
                <w:i/>
              </w:rPr>
              <w:t xml:space="preserve"> </w:t>
            </w:r>
            <w:r w:rsidR="00956184">
              <w:rPr>
                <w:rFonts w:eastAsia="Calibri"/>
                <w:bCs/>
                <w:i/>
              </w:rPr>
              <w:t xml:space="preserve">   </w:t>
            </w:r>
            <w:r w:rsidR="00E227BB" w:rsidRPr="007769C5">
              <w:rPr>
                <w:rFonts w:eastAsia="Calibri"/>
                <w:bCs/>
                <w:i/>
              </w:rPr>
              <w:t xml:space="preserve">  tháng</w:t>
            </w:r>
            <w:r w:rsidR="007241C4">
              <w:rPr>
                <w:rFonts w:eastAsia="Calibri"/>
                <w:bCs/>
                <w:i/>
                <w:lang w:val="en-US"/>
              </w:rPr>
              <w:t xml:space="preserve"> </w:t>
            </w:r>
            <w:r w:rsidR="00522054">
              <w:rPr>
                <w:rFonts w:eastAsia="Calibri"/>
                <w:bCs/>
                <w:i/>
                <w:lang w:val="en-US"/>
              </w:rPr>
              <w:t>9</w:t>
            </w:r>
            <w:r w:rsidR="00596F73">
              <w:rPr>
                <w:rFonts w:eastAsia="Calibri"/>
                <w:bCs/>
                <w:i/>
                <w:lang w:val="en-US"/>
              </w:rPr>
              <w:t xml:space="preserve"> </w:t>
            </w:r>
            <w:r w:rsidR="0049478F" w:rsidRPr="007769C5">
              <w:rPr>
                <w:rFonts w:eastAsia="Calibri"/>
                <w:bCs/>
                <w:i/>
              </w:rPr>
              <w:t>năm 20</w:t>
            </w:r>
            <w:r w:rsidR="00C04A53" w:rsidRPr="007769C5">
              <w:rPr>
                <w:rFonts w:eastAsia="Calibri"/>
                <w:bCs/>
                <w:i/>
              </w:rPr>
              <w:t>2</w:t>
            </w:r>
            <w:r w:rsidR="00E67EB3">
              <w:rPr>
                <w:rFonts w:eastAsia="Calibri"/>
                <w:bCs/>
                <w:i/>
                <w:lang w:val="en-US"/>
              </w:rPr>
              <w:t>6</w:t>
            </w:r>
          </w:p>
        </w:tc>
      </w:tr>
    </w:tbl>
    <w:p w14:paraId="2EF7534D" w14:textId="7EB1974B" w:rsidR="00FF42CE" w:rsidRPr="007769C5" w:rsidRDefault="00D560E7" w:rsidP="00E10424">
      <w:r w:rsidRPr="007769C5">
        <w:rPr>
          <w:color w:val="FF0000"/>
        </w:rPr>
        <w:t xml:space="preserve">              </w:t>
      </w:r>
    </w:p>
    <w:p w14:paraId="2EF7534E" w14:textId="7E06202A" w:rsidR="000A5DC0" w:rsidRDefault="000A5185" w:rsidP="0079694C">
      <w:pPr>
        <w:jc w:val="center"/>
        <w:rPr>
          <w:b/>
        </w:rPr>
      </w:pPr>
      <w:r w:rsidRPr="007769C5">
        <w:rPr>
          <w:color w:val="FF0000"/>
          <w:lang w:val="en-US"/>
        </w:rPr>
        <mc:AlternateContent>
          <mc:Choice Requires="wps">
            <w:drawing>
              <wp:anchor distT="0" distB="0" distL="114300" distR="114300" simplePos="0" relativeHeight="251659264" behindDoc="0" locked="0" layoutInCell="1" allowOverlap="1" wp14:anchorId="2EF753B6" wp14:editId="19B1E112">
                <wp:simplePos x="0" y="0"/>
                <wp:positionH relativeFrom="column">
                  <wp:posOffset>558165</wp:posOffset>
                </wp:positionH>
                <wp:positionV relativeFrom="paragraph">
                  <wp:posOffset>4445</wp:posOffset>
                </wp:positionV>
                <wp:extent cx="1057523" cy="330200"/>
                <wp:effectExtent l="0" t="0" r="28575" b="1270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523" cy="330200"/>
                        </a:xfrm>
                        <a:prstGeom prst="rect">
                          <a:avLst/>
                        </a:prstGeom>
                        <a:solidFill>
                          <a:srgbClr val="FFFFFF"/>
                        </a:solidFill>
                        <a:ln w="9525">
                          <a:solidFill>
                            <a:srgbClr val="000000"/>
                          </a:solidFill>
                          <a:miter lim="800000"/>
                          <a:headEnd/>
                          <a:tailEnd/>
                        </a:ln>
                      </wps:spPr>
                      <wps:txbx>
                        <w:txbxContent>
                          <w:p w14:paraId="2EF753C2" w14:textId="67F11477" w:rsidR="008F6456" w:rsidRPr="00E67EB3" w:rsidRDefault="008F6456" w:rsidP="00FF42CE">
                            <w:pPr>
                              <w:jc w:val="center"/>
                              <w:rPr>
                                <w:b/>
                                <w:lang w:val="en-US"/>
                              </w:rPr>
                            </w:pPr>
                            <w:r w:rsidRPr="00E67EB3">
                              <w:rPr>
                                <w:b/>
                              </w:rPr>
                              <w:t>DỰ THẢO</w:t>
                            </w:r>
                            <w:r>
                              <w:rPr>
                                <w:b/>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F753B6" id="Rectangle 11" o:spid="_x0000_s1026" style="position:absolute;left:0;text-align:left;margin-left:43.95pt;margin-top:.35pt;width:83.25pt;height: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">
                <v:textbox>
                  <w:txbxContent>
                    <w:p w14:paraId="2EF753C2" w14:textId="67F11477" w:rsidR="008F6456" w:rsidRPr="00E67EB3" w:rsidRDefault="008F6456" w:rsidP="00FF42CE">
                      <w:pPr>
                        <w:jc w:val="center"/>
                        <w:rPr>
                          <w:b/>
                          <w:lang w:val="en-US"/>
                        </w:rPr>
                      </w:pPr>
                      <w:r w:rsidRPr="00E67EB3">
                        <w:rPr>
                          <w:b/>
                        </w:rPr>
                        <w:t>DỰ THẢO</w:t>
                      </w:r>
                      <w:r>
                        <w:rPr>
                          <w:b/>
                          <w:lang w:val="en-US"/>
                        </w:rPr>
                        <w:t xml:space="preserve"> </w:t>
                      </w:r>
                    </w:p>
                  </w:txbxContent>
                </v:textbox>
              </v:rect>
            </w:pict>
          </mc:Fallback>
        </mc:AlternateContent>
      </w:r>
    </w:p>
    <w:p w14:paraId="2EF7534F" w14:textId="77777777" w:rsidR="000A5DC0" w:rsidRDefault="000A5DC0" w:rsidP="0079694C">
      <w:pPr>
        <w:jc w:val="center"/>
        <w:rPr>
          <w:b/>
        </w:rPr>
      </w:pPr>
    </w:p>
    <w:p w14:paraId="2EF75350" w14:textId="77777777" w:rsidR="0049478F" w:rsidRPr="007769C5" w:rsidRDefault="00DC7259" w:rsidP="0079694C">
      <w:pPr>
        <w:jc w:val="center"/>
      </w:pPr>
      <w:r w:rsidRPr="007769C5">
        <w:rPr>
          <w:b/>
        </w:rPr>
        <w:t>TỜ TRÌNH</w:t>
      </w:r>
    </w:p>
    <w:p w14:paraId="7DFA0EDF" w14:textId="77777777" w:rsidR="00522054" w:rsidRDefault="003D1E2A" w:rsidP="00517F0B">
      <w:pPr>
        <w:spacing w:line="252" w:lineRule="auto"/>
        <w:jc w:val="center"/>
        <w:rPr>
          <w:b/>
          <w:sz w:val="26"/>
          <w:lang w:val="nl-NL"/>
        </w:rPr>
      </w:pPr>
      <w:r w:rsidRPr="006F4AB2">
        <w:rPr>
          <w:b/>
          <w:sz w:val="26"/>
        </w:rPr>
        <w:t xml:space="preserve">Về việc ban hành Nghị định </w:t>
      </w:r>
      <w:r w:rsidR="005466E5" w:rsidRPr="006F4AB2">
        <w:rPr>
          <w:b/>
          <w:sz w:val="26"/>
        </w:rPr>
        <w:t>của Chính phủ</w:t>
      </w:r>
      <w:r w:rsidR="007A7FA4" w:rsidRPr="006F4AB2">
        <w:rPr>
          <w:b/>
          <w:sz w:val="26"/>
        </w:rPr>
        <w:t xml:space="preserve"> </w:t>
      </w:r>
      <w:r w:rsidR="00522054">
        <w:rPr>
          <w:b/>
          <w:sz w:val="26"/>
          <w:lang w:val="en-US"/>
        </w:rPr>
        <w:t xml:space="preserve">thay thế </w:t>
      </w:r>
      <w:r w:rsidR="006F4AB2" w:rsidRPr="006F4AB2">
        <w:rPr>
          <w:b/>
          <w:sz w:val="26"/>
          <w:lang w:val="nl-NL"/>
        </w:rPr>
        <w:t xml:space="preserve">Nghị định </w:t>
      </w:r>
    </w:p>
    <w:p w14:paraId="52C126A4" w14:textId="77777777" w:rsidR="00522054" w:rsidRDefault="006F4AB2" w:rsidP="00517F0B">
      <w:pPr>
        <w:spacing w:line="252" w:lineRule="auto"/>
        <w:jc w:val="center"/>
        <w:rPr>
          <w:b/>
          <w:sz w:val="26"/>
          <w:lang w:val="nl-NL"/>
        </w:rPr>
      </w:pPr>
      <w:r w:rsidRPr="006F4AB2">
        <w:rPr>
          <w:b/>
          <w:sz w:val="26"/>
          <w:lang w:val="nl-NL"/>
        </w:rPr>
        <w:t>số </w:t>
      </w:r>
      <w:r w:rsidR="00E67EB3">
        <w:rPr>
          <w:b/>
          <w:sz w:val="26"/>
          <w:lang w:val="nl-NL"/>
        </w:rPr>
        <w:t xml:space="preserve">91/2020/NĐ-CP ngày 14 tháng 8 năm 2020 của Chính phủ về </w:t>
      </w:r>
    </w:p>
    <w:p w14:paraId="2EF75351" w14:textId="56F44AED" w:rsidR="00065006" w:rsidRPr="006F4AB2" w:rsidRDefault="00E67EB3" w:rsidP="00517F0B">
      <w:pPr>
        <w:spacing w:line="252" w:lineRule="auto"/>
        <w:jc w:val="center"/>
        <w:rPr>
          <w:b/>
          <w:sz w:val="26"/>
        </w:rPr>
      </w:pPr>
      <w:r>
        <w:rPr>
          <w:b/>
          <w:sz w:val="26"/>
          <w:lang w:val="nl-NL"/>
        </w:rPr>
        <w:t>Chống tin nhắn rác, thư điện tử rác, cuộc gọi rác</w:t>
      </w:r>
      <w:r w:rsidR="00B87166" w:rsidRPr="006F4AB2">
        <w:rPr>
          <w:b/>
          <w:sz w:val="26"/>
        </w:rPr>
        <w:t xml:space="preserve"> </w:t>
      </w:r>
    </w:p>
    <w:p w14:paraId="2EF75352" w14:textId="77777777" w:rsidR="00AB40D6" w:rsidRPr="007769C5" w:rsidRDefault="00F004F3" w:rsidP="00B95AD7">
      <w:pPr>
        <w:spacing w:after="120"/>
        <w:ind w:firstLine="720"/>
        <w:jc w:val="center"/>
      </w:pPr>
      <w:r w:rsidRPr="007769C5">
        <w:rPr>
          <w:lang w:val="en-US"/>
        </w:rPr>
        <mc:AlternateContent>
          <mc:Choice Requires="wps">
            <w:drawing>
              <wp:anchor distT="0" distB="0" distL="114300" distR="114300" simplePos="0" relativeHeight="251658240" behindDoc="0" locked="0" layoutInCell="1" allowOverlap="1" wp14:anchorId="2EF753B8" wp14:editId="642B7755">
                <wp:simplePos x="0" y="0"/>
                <wp:positionH relativeFrom="column">
                  <wp:posOffset>1978025</wp:posOffset>
                </wp:positionH>
                <wp:positionV relativeFrom="paragraph">
                  <wp:posOffset>30150</wp:posOffset>
                </wp:positionV>
                <wp:extent cx="1971040" cy="0"/>
                <wp:effectExtent l="0" t="0" r="29210" b="19050"/>
                <wp:wrapNone/>
                <wp:docPr id="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1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574BD" id="Line 9"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75pt,2.35pt" to="310.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I6n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"/>
            </w:pict>
          </mc:Fallback>
        </mc:AlternateContent>
      </w:r>
    </w:p>
    <w:p w14:paraId="2EF75353" w14:textId="77777777" w:rsidR="006C01DD" w:rsidRPr="007769C5" w:rsidRDefault="00781A67" w:rsidP="006143D6">
      <w:pPr>
        <w:jc w:val="center"/>
      </w:pPr>
      <w:r w:rsidRPr="007769C5">
        <w:t>Kính gửi:</w:t>
      </w:r>
      <w:r w:rsidR="006C01DD" w:rsidRPr="007769C5">
        <w:t xml:space="preserve"> Chính phủ</w:t>
      </w:r>
    </w:p>
    <w:p w14:paraId="50581850" w14:textId="4A705F23" w:rsidR="00E67EB3" w:rsidRPr="006B5E23" w:rsidRDefault="00E67EB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Thực hiện Luật Ban hành văn bản quy phạm pháp luật năm 2025; Nghị định số 78/2025/NĐ-CP ngày 01 tháng 4 năm 2025 của Chính phủ quy định chi tiết một số điều và biện pháp để tổ chức, hướng dẫn thi hành Luật Ban hành văn bản quy phạm pháp luật; căn cứ chức năng, nhiệm vụ được giao, Bộ Công an trình Chính phủ dự thảo Nghị định </w:t>
      </w:r>
      <w:r w:rsidR="00522054" w:rsidRPr="006B5E23">
        <w:rPr>
          <w:snapToGrid w:val="0"/>
          <w:color w:val="171717"/>
          <w:lang w:val="en-US"/>
        </w:rPr>
        <w:t>thay thế</w:t>
      </w:r>
      <w:r w:rsidRPr="006B5E23">
        <w:rPr>
          <w:snapToGrid w:val="0"/>
          <w:color w:val="171717"/>
        </w:rPr>
        <w:t xml:space="preserve"> Nghị định số 91/2020/NĐ-CP ngày 14 tháng 8 năm 2020 của Chính phủ về chống tin nhắn rác, thư điện tử rác, cuộc gọi rác (sau đây gọi tắt là dự thảo Nghị định), với các nội dung cụ thể như sau:</w:t>
      </w:r>
    </w:p>
    <w:p w14:paraId="666247DC"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I. SỰ CẦN THIẾT BAN HÀNH NGHỊ ĐỊNH</w:t>
      </w:r>
    </w:p>
    <w:p w14:paraId="380415FB"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1. Cơ sở chính trị, pháp lý</w:t>
      </w:r>
    </w:p>
    <w:p w14:paraId="2038F897" w14:textId="77777777" w:rsidR="00E67EB3" w:rsidRPr="006B5E23" w:rsidRDefault="00E67EB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a) Nghị quyết số 27-NQ/TW ngày 09/11/2022 của Hội nghị lần thứ sáu Ban Chấp hành Trung ương Đảng khóa XIII về tiếp tục xây dựng và hoàn thiện Nhà nước pháp quyền xã hội chủ nghĩa Việt Nam trong giai đoạn mới xác định yêu cầu tiếp tục hoàn thiện hệ thống pháp luật, nâng cao hiệu lực, hiệu quả quản lý nhà nước, bảo đảm trật tự, an toàn xã hội trong bối cảnh chuyển đổi số mạnh mẽ.</w:t>
      </w:r>
    </w:p>
    <w:p w14:paraId="1DF9B3D9" w14:textId="4DCC6F3B" w:rsidR="00E67EB3" w:rsidRPr="006B5E23" w:rsidRDefault="00E67EB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b) </w:t>
      </w:r>
      <w:r w:rsidR="00F15864" w:rsidRPr="006B5E23">
        <w:rPr>
          <w:snapToGrid w:val="0"/>
          <w:color w:val="000000" w:themeColor="text1"/>
          <w:lang w:val="en-US"/>
        </w:rPr>
        <w:t>Kết luận số 126-KL/TW ngày 14/02/2025 của Bộ Chính trị, Ban Bí thư về một số nội dung, nhiệm vụ tiếp tục sắp xếp</w:t>
      </w:r>
      <w:r w:rsidRPr="006B5E23">
        <w:rPr>
          <w:snapToGrid w:val="0"/>
          <w:color w:val="171717"/>
        </w:rPr>
        <w:t>, tinh gọn tổ chức bộ máy của hệ thống chính trị, trong đó có việc điều chỉnh, phân công lại chức năng quản lý nhà nước đối với lĩn</w:t>
      </w:r>
      <w:r w:rsidR="00CB7A2E" w:rsidRPr="006B5E23">
        <w:rPr>
          <w:snapToGrid w:val="0"/>
          <w:color w:val="171717"/>
        </w:rPr>
        <w:t>h vực bảo đảm an toàn thông tin</w:t>
      </w:r>
      <w:r w:rsidR="00CB7A2E" w:rsidRPr="006B5E23">
        <w:rPr>
          <w:snapToGrid w:val="0"/>
          <w:color w:val="171717"/>
          <w:lang w:val="en-US"/>
        </w:rPr>
        <w:t xml:space="preserve"> (</w:t>
      </w:r>
      <w:r w:rsidR="00CB7A2E" w:rsidRPr="006B5E23">
        <w:rPr>
          <w:snapToGrid w:val="0"/>
          <w:color w:val="171717"/>
        </w:rPr>
        <w:t>chuyển từ Bộ Thông tin và Truyền thông sang Bộ Công an</w:t>
      </w:r>
      <w:r w:rsidR="00CB7A2E" w:rsidRPr="006B5E23">
        <w:rPr>
          <w:snapToGrid w:val="0"/>
          <w:color w:val="171717"/>
          <w:lang w:val="en-US"/>
        </w:rPr>
        <w:t>)</w:t>
      </w:r>
      <w:r w:rsidRPr="006B5E23">
        <w:rPr>
          <w:snapToGrid w:val="0"/>
          <w:color w:val="171717"/>
        </w:rPr>
        <w:t>;</w:t>
      </w:r>
      <w:r w:rsidR="00CB7A2E" w:rsidRPr="006B5E23">
        <w:rPr>
          <w:snapToGrid w:val="0"/>
          <w:color w:val="171717"/>
        </w:rPr>
        <w:t xml:space="preserve"> đặt ra yêu cầu cấp thiết</w:t>
      </w:r>
      <w:r w:rsidRPr="006B5E23">
        <w:rPr>
          <w:snapToGrid w:val="0"/>
          <w:color w:val="171717"/>
        </w:rPr>
        <w:t xml:space="preserve"> rà soát, sửa đổi, bổ sung các văn bản quy phạm pháp luật có liên quan để bảo đảm thống nhất, đồng bộ</w:t>
      </w:r>
      <w:r w:rsidR="00CB7A2E" w:rsidRPr="006B5E23">
        <w:rPr>
          <w:snapToGrid w:val="0"/>
          <w:color w:val="171717"/>
        </w:rPr>
        <w:t xml:space="preserve"> trong tổ chức thực hiện</w:t>
      </w:r>
      <w:r w:rsidRPr="006B5E23">
        <w:rPr>
          <w:snapToGrid w:val="0"/>
          <w:color w:val="171717"/>
        </w:rPr>
        <w:t>, không chồng chéo.</w:t>
      </w:r>
    </w:p>
    <w:p w14:paraId="76E2C992" w14:textId="63D64216" w:rsidR="00E67EB3" w:rsidRPr="006B5E23" w:rsidRDefault="00E67EB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c) Luật Viễn thông năm 2023, Luật Giao dịch điện tử năm 2023, Luật An ninh</w:t>
      </w:r>
      <w:r w:rsidR="00314CCB" w:rsidRPr="006B5E23">
        <w:rPr>
          <w:snapToGrid w:val="0"/>
          <w:color w:val="171717"/>
        </w:rPr>
        <w:t xml:space="preserve"> mạng năm 2025, Luật Quảng cáo</w:t>
      </w:r>
      <w:r w:rsidR="00F15864" w:rsidRPr="006B5E23">
        <w:rPr>
          <w:snapToGrid w:val="0"/>
          <w:color w:val="171717"/>
          <w:lang w:val="en-US"/>
        </w:rPr>
        <w:t xml:space="preserve"> sửa đổi năm 2025</w:t>
      </w:r>
      <w:r w:rsidR="00314CCB" w:rsidRPr="006B5E23">
        <w:rPr>
          <w:snapToGrid w:val="0"/>
          <w:color w:val="171717"/>
          <w:lang w:val="en-US"/>
        </w:rPr>
        <w:t xml:space="preserve"> </w:t>
      </w:r>
      <w:r w:rsidRPr="006B5E23">
        <w:rPr>
          <w:snapToGrid w:val="0"/>
          <w:color w:val="171717"/>
        </w:rPr>
        <w:t>và các văn bản hướng dẫn thi hành đã có nhiều quy định mới liên quan đến quản lý hoạt động cung cấp dịch vụ viễn thông, Internet, dịch vụ ứng dụng viễn thông trên Internet (OTT), bảo vệ người sử dụng và xử lý các hành vi vi phạm trên không gian mạng.</w:t>
      </w:r>
    </w:p>
    <w:p w14:paraId="4A306E38" w14:textId="3D1AFDC9" w:rsidR="00EF0378" w:rsidRPr="006B5E23" w:rsidRDefault="00CB7A2E" w:rsidP="006B5E23">
      <w:pPr>
        <w:pStyle w:val="BodyText"/>
        <w:tabs>
          <w:tab w:val="left" w:pos="985"/>
        </w:tabs>
        <w:adjustRightInd w:val="0"/>
        <w:snapToGrid w:val="0"/>
        <w:spacing w:before="120"/>
        <w:ind w:firstLine="720"/>
        <w:contextualSpacing/>
        <w:jc w:val="both"/>
        <w:rPr>
          <w:snapToGrid w:val="0"/>
          <w:color w:val="171717"/>
          <w:lang w:val="en-US"/>
        </w:rPr>
      </w:pPr>
      <w:r w:rsidRPr="006B5E23">
        <w:rPr>
          <w:snapToGrid w:val="0"/>
          <w:color w:val="171717"/>
          <w:lang w:val="en-US"/>
        </w:rPr>
        <w:t>d</w:t>
      </w:r>
      <w:r w:rsidR="000A5185" w:rsidRPr="006B5E23">
        <w:rPr>
          <w:snapToGrid w:val="0"/>
          <w:color w:val="171717"/>
          <w:lang w:val="en-US"/>
        </w:rPr>
        <w:t xml:space="preserve">) Nghị quyết số 22/NQ-CP ngày 29/4/2026 của Chính phủ về cắt giảm, phân cấp, đơn giản hóa thủ tục hành chính và cắt giảm, đơn giản hóa điều kiện kinh doanh thuộc phạm vi quản lý của Bộ Công an đã giao Bộ Công an rà soát, sửa đổi, bổ sung các quy định pháp luật liên quan nhằm thực hiện phân cấp, đơn giản hóa thủ tục hành chính trong lĩnh vực bảo đảm an toàn thông tin, an ninh </w:t>
      </w:r>
      <w:r w:rsidR="000A5185" w:rsidRPr="006B5E23">
        <w:rPr>
          <w:snapToGrid w:val="0"/>
          <w:color w:val="171717"/>
          <w:lang w:val="en-US"/>
        </w:rPr>
        <w:lastRenderedPageBreak/>
        <w:t xml:space="preserve">mạng. Theo Phụ lục I.7 ban hành kèm theo Nghị quyết, thủ tục cấp Giấy chứng nhận tên định danh quy định tại các Điều 26, 27 và 28 Nghị định số 91/2020/NĐ-CP được thực hiện theo hướng phân cấp cho Công an cấp tỉnh giải quyết. </w:t>
      </w:r>
      <w:r w:rsidR="00EF0378" w:rsidRPr="006B5E23">
        <w:rPr>
          <w:snapToGrid w:val="0"/>
          <w:color w:val="171717"/>
          <w:lang w:val="en-US"/>
        </w:rPr>
        <w:t>Theo Phụ lục I.7 ban hành kèm theo Nghị quyết số 22/NQ-CP, thủ tục cấp Giấy chứng nhận tên định danh quy định tại Nghị định số 91/2020/NĐ-CP được thực hiện theo hướng phân cấp cho Công an cấp tỉnh giải quyết. Đồng thời, qua quá trình tổng kết thi hành Nghị định số 91/2020/NĐ-CP cho thấy nhiều quy định không còn phù hợp với yêu cầu quản lý nhà nước trong tình hình mới. Do đó, việc ban hành Nghị định thay thế Nghị định số 91/2020/NĐ-CP là cần thiết nhằm tạo cơ sở pháp lý đầy đủ, thống nhất cho việc triển khai chủ trương phân cấp, cải cách thủ tục hành chính và hoàn thiện cơ chế quản lý nhà nước về phòng, chống tin nhắn rác, thư điện tử rác, cuộc gọi rác.</w:t>
      </w:r>
    </w:p>
    <w:p w14:paraId="6F4DF4A3" w14:textId="6678E96C" w:rsidR="00C529DF" w:rsidRPr="006B5E23" w:rsidRDefault="00CB7A2E" w:rsidP="006B5E23">
      <w:pPr>
        <w:pStyle w:val="BodyText"/>
        <w:tabs>
          <w:tab w:val="left" w:pos="985"/>
        </w:tabs>
        <w:adjustRightInd w:val="0"/>
        <w:snapToGrid w:val="0"/>
        <w:spacing w:before="120"/>
        <w:ind w:firstLine="720"/>
        <w:contextualSpacing/>
        <w:jc w:val="both"/>
        <w:rPr>
          <w:snapToGrid w:val="0"/>
          <w:color w:val="171717"/>
          <w:lang w:val="en-US"/>
        </w:rPr>
      </w:pPr>
      <w:r w:rsidRPr="006B5E23">
        <w:rPr>
          <w:snapToGrid w:val="0"/>
          <w:color w:val="171717"/>
          <w:lang w:val="en-US"/>
        </w:rPr>
        <w:t>e</w:t>
      </w:r>
      <w:r w:rsidR="00C529DF" w:rsidRPr="006B5E23">
        <w:rPr>
          <w:snapToGrid w:val="0"/>
          <w:color w:val="171717"/>
          <w:lang w:val="en-US"/>
        </w:rPr>
        <w:t xml:space="preserve">) </w:t>
      </w:r>
      <w:r w:rsidR="00E158FF" w:rsidRPr="006B5E23">
        <w:rPr>
          <w:snapToGrid w:val="0"/>
          <w:color w:val="171717"/>
          <w:lang w:val="en-US"/>
        </w:rPr>
        <w:t>Văn bản số 1852/VPCP-KGVX ngày 03/3/2026 của Văn phòng Chính phủ thông báo ý kiến chỉ đạo của đồng chí Phó Thủ tướng Nguyễn Chí Dũng giao Bộ Công an chủ trì, phối hợp với Bộ Khoa học và Công nghệ, Bộ Tư pháp, các bộ, cơ quan liên quan xây dựng Nghị định sửa đổi, bổ sung một số điều của Nghị định số 91/2020/NĐ-CP ngày 14 tháng 8 năm 2020 của Chính phủ về Chống tin nhắn rác, thư điện tử rác, cuộc gọi rác theo đúng quy định của Luật Ban hành văn bản quy phạm pháp luật và các văn bản pháp luật khác có liên quan; trình Chính phủ trong Quý III năm 2026.</w:t>
      </w:r>
      <w:r w:rsidR="00EF0378" w:rsidRPr="006B5E23">
        <w:rPr>
          <w:snapToGrid w:val="0"/>
          <w:color w:val="171717"/>
          <w:lang w:val="en-US"/>
        </w:rPr>
        <w:t xml:space="preserve"> Bộ Công an đã tổ chức tổng kết toàn diện quá trình thi hành Nghị định; rà soát hệ thống pháp luật có liên quan; đánh giá đầy đủ những khó khăn, vướng mắc phát sinh trong thực tiễn. Kết quả rà soát cho thấy số lượng nội dung cần sửa đổi, bổ sung, bãi bỏ và bổ sung mới chiếm trên 50% số điều của Nghị định hiện hành, đồng thời phát sinh nhiều chính sách quản lý mới chưa được quy định tại Nghị định số 91/2020/NĐ-CP. Vì vậy, Bộ Công an đề xuất xây dựng Nghị định thay thế Nghị định số 91/2020/NĐ-CP nhằm bảo đảm tính thống nhất, đồng bộ của hệ thống pháp luật và đáp ứng yêu cầu quản lý nhà nước trong tình hình mới.</w:t>
      </w:r>
    </w:p>
    <w:p w14:paraId="5FB4F450"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2. Cơ sở thực tiễn</w:t>
      </w:r>
    </w:p>
    <w:p w14:paraId="77F8FFFD" w14:textId="68F24DB6" w:rsidR="00EB0FCA" w:rsidRPr="006B5E23" w:rsidRDefault="00EB0FCA" w:rsidP="006B5E23">
      <w:pPr>
        <w:pStyle w:val="BodyText"/>
        <w:tabs>
          <w:tab w:val="left" w:pos="985"/>
        </w:tabs>
        <w:adjustRightInd w:val="0"/>
        <w:snapToGrid w:val="0"/>
        <w:spacing w:before="120"/>
        <w:ind w:firstLine="720"/>
        <w:contextualSpacing/>
        <w:jc w:val="both"/>
        <w:rPr>
          <w:lang w:val="en-US"/>
        </w:rPr>
      </w:pPr>
      <w:r w:rsidRPr="006B5E23">
        <w:t>Triển khai Nghị quyết số 18/NQ-TW của Ban chấp hành Trung ương về việc tiếp tục đổi mới, sắp xếp tổ chức bộ máy của hệ thống chính trị tinh gọn, hoạt động hiệu lực, hiệu quả, Bộ Công an đã tiếp nhận chức năng nhiệm vụ quản lý nhà nước về an toàn thông tin mạng từ Bộ Thông tin và truyền thông</w:t>
      </w:r>
      <w:r w:rsidR="008326A0" w:rsidRPr="006B5E23">
        <w:rPr>
          <w:lang w:val="en-US"/>
        </w:rPr>
        <w:t xml:space="preserve"> (nay là Bộ Khoa học công nghệ)</w:t>
      </w:r>
      <w:r w:rsidRPr="006B5E23">
        <w:t xml:space="preserve">. Bộ Công an đã chủ trì, phối hợp với Bộ khoa học công nghệ triển khai các biện pháp quản lý nhà nước đối với hoạt động kinh doanh dịch vụ quảng cáo qua tin nhắn SMS, siết chặt quản lý đối với hoạt động đăng ký Brandname và xây dựng mới hệ thống tiếp nhận, xử lý phản ánh tin nhắn rác, thư điện tử rác, cuộc gọi rác theo hướng tích hợp, đồng bộ dữ liệu và thống nhất trên cùng một cổng thông tin https://nospam.vncert.vn; đồng thời, tiếp tục tích hợp, duy trì hệ thống tổng đài 5656/156 tiếp nhận phản ánh và đăng ký thuê bao “Không quảng cáo” (DoNotCall). </w:t>
      </w:r>
      <w:r w:rsidRPr="00A159A6">
        <w:t xml:space="preserve">Thống </w:t>
      </w:r>
      <w:r w:rsidR="00720E1E" w:rsidRPr="00A159A6">
        <w:t xml:space="preserve">kê sơ bộ từ 01/10/2025 đến </w:t>
      </w:r>
      <w:r w:rsidR="006B5E23" w:rsidRPr="00A159A6">
        <w:rPr>
          <w:lang w:val="en-US"/>
        </w:rPr>
        <w:t>13/8</w:t>
      </w:r>
      <w:r w:rsidRPr="00A159A6">
        <w:t xml:space="preserve">/2026, hệ thống tổng đài 5656/156 và cổng thông tin </w:t>
      </w:r>
      <w:r w:rsidRPr="00A159A6">
        <w:rPr>
          <w:i/>
        </w:rPr>
        <w:t>https://nospam.vncert.vn</w:t>
      </w:r>
      <w:r w:rsidRPr="00A159A6">
        <w:t xml:space="preserve"> đã ghi nhận quản lý </w:t>
      </w:r>
      <w:r w:rsidR="006B5E23" w:rsidRPr="00A159A6">
        <w:rPr>
          <w:b/>
          <w:lang w:val="en-US"/>
        </w:rPr>
        <w:t xml:space="preserve">1.666.045 </w:t>
      </w:r>
      <w:r w:rsidRPr="00A159A6">
        <w:t xml:space="preserve">thuê bao DoNotcall </w:t>
      </w:r>
      <w:r w:rsidRPr="00A159A6">
        <w:rPr>
          <w:i/>
        </w:rPr>
        <w:t>(“Thuê bao không nhận tin nhắn/cuộc gọi quảng cáo”),</w:t>
      </w:r>
      <w:r w:rsidRPr="00A159A6">
        <w:t xml:space="preserve"> tiếp nhận tổng số </w:t>
      </w:r>
      <w:r w:rsidR="006B5E23" w:rsidRPr="00A159A6">
        <w:rPr>
          <w:b/>
          <w:lang w:val="en-US"/>
        </w:rPr>
        <w:t>318.125</w:t>
      </w:r>
      <w:r w:rsidRPr="00A159A6">
        <w:t xml:space="preserve"> thông tin phản ánh về tin nhắn rác, thư điện tử rác, cuộc gọi rác, </w:t>
      </w:r>
      <w:r w:rsidR="00592A87" w:rsidRPr="00A159A6">
        <w:t xml:space="preserve">trung bình mỗi ngày tiếp nhận </w:t>
      </w:r>
      <w:r w:rsidR="00592A87" w:rsidRPr="00A159A6">
        <w:rPr>
          <w:lang w:val="en-US"/>
        </w:rPr>
        <w:t>khoảng</w:t>
      </w:r>
      <w:r w:rsidRPr="00A159A6">
        <w:t xml:space="preserve"> </w:t>
      </w:r>
      <w:r w:rsidR="00720E1E" w:rsidRPr="00A159A6">
        <w:rPr>
          <w:lang w:val="en-US"/>
        </w:rPr>
        <w:t>1.000</w:t>
      </w:r>
      <w:r w:rsidRPr="00A159A6">
        <w:t xml:space="preserve"> lượt </w:t>
      </w:r>
      <w:r w:rsidRPr="00A159A6">
        <w:lastRenderedPageBreak/>
        <w:t>phản ánh</w:t>
      </w:r>
      <w:r w:rsidR="00592A87" w:rsidRPr="00A159A6">
        <w:rPr>
          <w:lang w:val="en-US"/>
        </w:rPr>
        <w:t xml:space="preserve">. </w:t>
      </w:r>
      <w:r w:rsidR="00D1282B" w:rsidRPr="006B5E23">
        <w:rPr>
          <w:lang w:val="en-US"/>
        </w:rPr>
        <w:t xml:space="preserve">Trong tổng số phản ánh tiếp nhận, phản ánh liên quan </w:t>
      </w:r>
      <w:r w:rsidR="00237B2D" w:rsidRPr="006B5E23">
        <w:rPr>
          <w:lang w:val="en-US"/>
        </w:rPr>
        <w:t>đến cuộc gọi rác, cuộc gọi lừa đảo</w:t>
      </w:r>
      <w:r w:rsidR="00D1282B" w:rsidRPr="006B5E23">
        <w:rPr>
          <w:lang w:val="en-US"/>
        </w:rPr>
        <w:t xml:space="preserve"> chiếm tỷ lệ lớn, cho thấy hoạt động phát tán thông tin rác hiện không còn đơn thuần là hành vi quảng cáo trái phép mà đã gắn chặt với các hành vi vi phạm pháp luật, lừa đảo chiếm đoạt tài sản trên không gian mạng, tác động trực tiếp đến an ninh, trật tự và quyền, lợi ích hợp pháp của người dân.</w:t>
      </w:r>
    </w:p>
    <w:p w14:paraId="17BBE8DD"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Thực tiễn thời gian qua cho thấy, hoạt động phát tán tin nhắn rác, cuộc gọi rác đã có sự chuyển dịch nhanh chóng từ phương thức truyền thống sang các nền tảng, dịch vụ ứng dụng công nghệ cao, xuyên biên giới và khó kiểm soát hơn. Các đối tượng vi phạm ngày càng gia tăng sử dụng dịch vụ thoại qua giao thức Internet (VoIP), nền tảng OTT, SIP Trunk, SIM rác, đầu số ảo, hệ thống phát tán tự động, tài khoản định danh ảo và hạ tầng kỹ thuật đặt ở nước ngoài nhằm thực hiện các hành vi quảng cáo trái phép, giả mạo cơ quan, tổ chức, doanh nghiệp để lừa đảo người dân. Nhiều trường hợp lợi dụng kẽ hở trong đăng ký doanh nghiệp để thành lập các công ty “ma”, đăng ký số lượng lớn SMS Brandname, đầu số cố định, dịch vụ SIP Trunk hoặc sử dụng thông tin thuê bao không chính xác nhằm che giấu danh tính, né tránh sự phát hiện và xử lý của cơ quan chức năng.</w:t>
      </w:r>
    </w:p>
    <w:p w14:paraId="3E5B0BDB"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Đáng chú ý, nhiều đối tượng đã lợi dụng số thuê bao thông thường, tổng đài ảo, dịch vụ VoIP, SIP Trunk để thực hiện các cuộc gọi giả danh cơ quan Công an, Viện kiểm sát, Tòa án, ngân hàng, doanh nghiệp viễn thông hoặc tổ chức tài chính nhằm lừa đảo chiếm đoạt tài sản. Trong nhiều trường hợp, thông tin hiển thị trên thiết bị người sử dụng không phản ánh đúng chủ thể thực hiện cuộc gọi, gây khó khăn cho công tác xác minh, truy vết và xử lý vi phạm. Người dân hiện gặp nhiều khó khăn trong việc phân biệt cuộc gọi hợp pháp với cuộc gọi giả mạo, cuộc gọi quảng cáo hoặc cuộc gọi có dấu hiệu lừa đảo, đặc biệt đối với các cuộc gọi không hiển thị tên định danh hoặc sử dụng số thuê bao di động thông thường để liên hệ với khách hàng.</w:t>
      </w:r>
    </w:p>
    <w:p w14:paraId="21BBB33B" w14:textId="27CE9B76"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Bên cạnh đó, thực tiễn triển k</w:t>
      </w:r>
      <w:r w:rsidR="0012428C" w:rsidRPr="006B5E23">
        <w:rPr>
          <w:snapToGrid w:val="0"/>
          <w:color w:val="171717"/>
        </w:rPr>
        <w:t xml:space="preserve">hai cũng cho thấy hoạt động </w:t>
      </w:r>
      <w:r w:rsidR="0012428C" w:rsidRPr="006B5E23">
        <w:rPr>
          <w:snapToGrid w:val="0"/>
          <w:color w:val="171717"/>
          <w:lang w:val="en-US"/>
        </w:rPr>
        <w:t>tán phát tin nhắn, cuộc gọi rác</w:t>
      </w:r>
      <w:r w:rsidRPr="006B5E23">
        <w:rPr>
          <w:snapToGrid w:val="0"/>
          <w:color w:val="171717"/>
        </w:rPr>
        <w:t xml:space="preserve">, lừa đảo đang dịch chuyển mạnh sang các nền tảng OTT, nền tảng xuyên biên giới và các dịch vụ ứng dụng viễn thông trên Internet. Tuy nhiên, hệ thống pháp luật hiện hành chưa có quy định đầy đủ, đồng bộ về cơ chế yêu cầu doanh nghiệp OTT phối hợp cung cấp thông tin, xác thực người sử dụng, lưu trữ dữ liệu, ngăn chặn tài khoản vi phạm hoặc xử lý đối với các nền tảng xuyên biên giới không có </w:t>
      </w:r>
      <w:r w:rsidR="0012428C" w:rsidRPr="006B5E23">
        <w:rPr>
          <w:snapToGrid w:val="0"/>
          <w:color w:val="171717"/>
          <w:lang w:val="en-US"/>
        </w:rPr>
        <w:t>văn phòng đại diện</w:t>
      </w:r>
      <w:r w:rsidRPr="006B5E23">
        <w:rPr>
          <w:snapToGrid w:val="0"/>
          <w:color w:val="171717"/>
        </w:rPr>
        <w:t xml:space="preserve"> tại Việt Nam. Đây là khoảng trống pháp lý lớn, gây khó khăn cho công tác quản lý nhà nước, thanh tra, kiểm tra, điều tra, xác minh và xử lý vi phạm trong thực tiễn.</w:t>
      </w:r>
    </w:p>
    <w:p w14:paraId="44EDBC50"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Tính đến tháng 10/2025, cả nước xảy ra hơn 4.200 vụ việc liên quan đến tội phạm sử dụng công nghệ cao, gây thiệt hại gần 5.000 tỷ đồng. Mặc dù kết quả đấu tranh đã góp phần kéo giảm so với năm 2024, song tình hình vi phạm pháp luật trên không gian mạng vẫn tiếp tục diễn biến phức tạp; các đối tượng liên tục thay đổi phương thức, công nghệ và thủ đoạn hoạt động nhằm né tránh sự kiểm soát của cơ quan chức năng. Trong đó, hoạt động phát tán tin nhắn rác, cuộc gọi rác tiếp tục là một trong những công cụ chủ yếu được các đối tượng sử dụng để tiếp cận nạn nhân, phát tán đường dẫn độc hại, chiếm đoạt thông tin cá nhân, mã OTP và thực hiện hành vi lừa đảo trên không gian mạng.</w:t>
      </w:r>
    </w:p>
    <w:p w14:paraId="072923B8" w14:textId="6F71AAE4"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lastRenderedPageBreak/>
        <w:t>Qua tổng kết thực tiễn triển khai Nghị định số 91/2020/NĐ-CP cho thấy một số hạn chế, bất cập</w:t>
      </w:r>
      <w:r w:rsidRPr="006B5E23">
        <w:rPr>
          <w:snapToGrid w:val="0"/>
          <w:color w:val="171717"/>
          <w:lang w:val="en-US"/>
        </w:rPr>
        <w:t>, cụ thể là</w:t>
      </w:r>
      <w:r w:rsidRPr="006B5E23">
        <w:rPr>
          <w:snapToGrid w:val="0"/>
          <w:color w:val="171717"/>
        </w:rPr>
        <w:t>:</w:t>
      </w:r>
    </w:p>
    <w:p w14:paraId="0C761928"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(1) Một số quy định không còn phù hợp với mô hình tổ chức bộ máy và yêu cầu quản lý nhà nước hiện nay. Nghị định số 91/2020/NĐ-CP hiện vẫn quy định Bộ Thông tin và Truyền thông (Cục An toàn thông tin) là cơ quan chủ trì quản lý nhà nước trong lĩnh vực phòng, chống tin nhắn rác, thư điện tử rác, cuộc gọi rác, trong khi chức năng, nhiệm vụ liên quan đã được chuyển giao sang Bộ Công an. Điều này dẫn đến khó khăn trong công tác điều phối, tổ chức triển khai, kết nối hệ thống kỹ thuật, chia sẻ dữ liệu, thanh tra, kiểm tra và xử lý vi phạm.</w:t>
      </w:r>
    </w:p>
    <w:p w14:paraId="58751DC2"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(2) Quy định hiện hành chưa theo kịp sự phát triển nhanh của công nghệ và phương thức, thủ đoạn vi phạm mới. Nghị định số 91/2020/NĐ-CP chủ yếu điều chỉnh đối với dịch vụ viễn thông truyền thống, chưa có quy định đầy đủ, cụ thể về phòng, chống tin nhắn rác, cuộc gọi rác trên các nền tảng OTT, VoIP, dịch vụ xuyên biên giới, dịch vụ viễn thông vệ tinh; chưa quy định đầy đủ cơ chế định danh, xác thực, lưu trữ dữ liệu, gán nhãn cảnh báo, quản lý cuộc gọi từ tổ chức, doanh nghiệp hoặc cơ chế phối hợp bắt buộc đối với các nền tảng số xuyên biên giới.</w:t>
      </w:r>
    </w:p>
    <w:p w14:paraId="418FE0E3"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(3) Trách nhiệm của các chủ thể liên quan chưa được phân định đầy đủ, đồng bộ. Trách nhiệm của doanh nghiệp viễn thông, doanh nghiệp cung cấp nền tảng số, doanh nghiệp OTT, doanh nghiệp cung cấp dịch vụ trung gian và các chủ thể liên quan trong việc phát hiện, ngăn chặn, chia sẻ dữ liệu và phối hợp xử lý vi phạm chưa được quy định rõ ràng; cơ chế phối hợp giữa cơ quan quản lý nhà nước, doanh nghiệp viễn thông và lực lượng chức năng chưa đáp ứng yêu cầu quản lý tập trung, điều phối liên ngành trong bối cảnh phát sinh nhiều loại hình vi phạm mới trên không gian mạng.</w:t>
      </w:r>
    </w:p>
    <w:p w14:paraId="448C2F70"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(4) Một số quy định về quản lý tên định danh và thủ tục hành chính chưa phù hợp với yêu cầu cải cách hành chính, phân cấp, phân quyền theo chủ trương của Chính phủ. Việc tiếp nhận, giải quyết thủ tục cấp Giấy chứng nhận tên định danh hiện vẫn tập trung ở cấp Trung ương, trong khi nhu cầu đăng ký, sử dụng tên định danh của tổ chức, doanh nghiệp ngày càng tăng, dẫn đến áp lực xử lý hồ sơ lớn, chưa phù hợp với chủ trương đẩy mạnh cải cách thủ tục hành chính, phân cấp cho địa phương theo Nghị quyết số 22/NQ-CP ngày 29/4/2026 của Chính phủ.</w:t>
      </w:r>
    </w:p>
    <w:p w14:paraId="3A47E9A6"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(5) Chế tài xử lý vi phạm và các biện pháp kỹ thuật ngăn chặn chưa đủ sức răn đe và chưa đáp ứng yêu cầu thực tiễn. Một số mức xử phạt hiện nay chưa tương xứng với tính chất, mức độ vi phạm và lợi ích thu được từ hành vi vi phạm, đặc biệt đối với các tổ chức, đường dây phát tán tin nhắn rác, cuộc gọi rác quy mô lớn, có yếu tố xuyên biên giới. Các biện pháp bổ sung như chặn dịch vụ, đình chỉ </w:t>
      </w:r>
      <w:r w:rsidRPr="006B5E23">
        <w:rPr>
          <w:snapToGrid w:val="0"/>
          <w:color w:val="171717"/>
          <w:spacing w:val="-4"/>
        </w:rPr>
        <w:t>hoạt động, thu hồi tài nguyên viễn thông, khóa tài khoản, ngăn chặn nền tảng vi phạm chưa được quy định đầy đủ, dẫn đến hiệu quả phòng ngừa và xử lý còn hạn chế.</w:t>
      </w:r>
    </w:p>
    <w:p w14:paraId="4BBED295" w14:textId="7BFBC0EC" w:rsidR="00EF0378" w:rsidRPr="006B5E23" w:rsidRDefault="00EF0378"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lang w:val="en-US"/>
        </w:rPr>
        <w:t>Ngoài ra, qua</w:t>
      </w:r>
      <w:r w:rsidRPr="006B5E23">
        <w:rPr>
          <w:snapToGrid w:val="0"/>
          <w:color w:val="171717"/>
        </w:rPr>
        <w:t xml:space="preserve"> tổng kết thi hành Nghị định số 91/2020/NĐ-CP cho thấy Nghị định đã phát huy hiệu quả tích cực trong việc thiết lập hành lang pháp lý về phòng, chống tin nhắn rác, thư điện tử rác, cuộc gọi rác; góp phần nâng cao ý thức tuân thủ pháp luật của doanh nghiệp viễn thông, doanh nghiệp cung cấp dịch vụ quảng cáo và bảo vệ quyền lợi của người sử dụng. Tuy nhiên, sau hơn 05 năm triển khai thực hiện, cùng với sự phát triển nhanh chóng của công nghệ số, các dịch vụ viễn </w:t>
      </w:r>
      <w:r w:rsidRPr="006B5E23">
        <w:rPr>
          <w:snapToGrid w:val="0"/>
          <w:color w:val="171717"/>
        </w:rPr>
        <w:lastRenderedPageBreak/>
        <w:t>thông trên Internet, nền tảng xuyên biên giới và phương thức hoạt động của tội phạm sử dụng công nghệ cao, nhiều quy định của Nghị định số 91/2020/NĐ-CP đã bộc lộ những hạn chế, bất cập cả về phạm vi điều chỉnh, đối tượng áp dụng, cơ chế quản lý và trách nhiệm của các chủ thể có liên quan. Kết quả tổng kết cũng cho thấy số lượng nội dung cần sửa đổi, bổ sung, bãi bỏ và bổ sung mới chiếm trên 50% số điều của Nghị định hiện hành. Do đó, việc ban hành Nghị định thay thế là cần thiết để bảo đảm tính toàn diện, thống nhất, đồng bộ và đáp ứng yêu cầu quản lý nhà nước trong giai đoạn mới.</w:t>
      </w:r>
    </w:p>
    <w:p w14:paraId="4F5679DC" w14:textId="42F79371"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Từ những cơ sở nêu trên, việc ban hành Nghị định sửa đổi, bổ sung một số điều của Nghị định số 91/2020/NĐ-CP là hết sức cần thiết nhằm hoàn thiện cơ sở pháp lý về phòng, chống tin nhắn rác, thư điện tử rác, cuộc gọi rác; đáp ứng yêu cầu quản lý nhà nước trong tình hình mới; tăng cường hiệu quả phòng ngừa, phát hiện, ngăn chặn và xử lý các hành vi vi phạm; đồng thời bảo đảm sự thống nhất, đồng bộ của hệ thống pháp luật và phù hợp với yêu cầu cải cách hành chính, phân cấp, phân quyền theo chủ trương của Đảng và Chính phủ.</w:t>
      </w:r>
    </w:p>
    <w:p w14:paraId="1FCA5E0B"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II. MỤC ĐÍCH BAN HÀNH, QUAN ĐIỂM XÂY DỰNG NGHỊ ĐỊNH</w:t>
      </w:r>
    </w:p>
    <w:p w14:paraId="031C95C5" w14:textId="03B90F85" w:rsidR="00D1282B" w:rsidRPr="006B5E23" w:rsidRDefault="00D1282B" w:rsidP="006B5E23">
      <w:pPr>
        <w:pStyle w:val="BodyText"/>
        <w:tabs>
          <w:tab w:val="left" w:pos="985"/>
        </w:tabs>
        <w:adjustRightInd w:val="0"/>
        <w:snapToGrid w:val="0"/>
        <w:spacing w:before="120"/>
        <w:ind w:firstLine="720"/>
        <w:contextualSpacing/>
        <w:jc w:val="both"/>
        <w:rPr>
          <w:b/>
          <w:snapToGrid w:val="0"/>
          <w:color w:val="171717"/>
          <w:lang w:val="en-US"/>
        </w:rPr>
      </w:pPr>
      <w:r w:rsidRPr="006B5E23">
        <w:rPr>
          <w:b/>
          <w:snapToGrid w:val="0"/>
          <w:color w:val="171717"/>
          <w:lang w:val="en-US"/>
        </w:rPr>
        <w:t>1. Mục đích ban hành</w:t>
      </w:r>
    </w:p>
    <w:p w14:paraId="1D195AFF"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a) Hoàn thiện cơ sở pháp lý về phòng, chống tin nhắn rác, thư điện tử rác, cuộc gọi rác theo hướng thống nhất, đồng bộ với các quy định mới của pháp luật về viễn thông, giao dịch điện tử, chuyển đổi số, quảng cáo, an ninh mạng và bảo vệ dữ liệu cá nhân; đáp ứng yêu cầu quản lý nhà nước trong bối cảnh phát triển nhanh của công nghệ số, dịch vụ viễn thông trên Internet và các phương thức liên lạc mới.</w:t>
      </w:r>
    </w:p>
    <w:p w14:paraId="412FFB82"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 Khắc phục những hạn chế, bất cập phát sinh trong quá trình triển khai thi hành Nghị định số 91/2020/NĐ-CP; bổ sung, hoàn thiện cơ chế phòng, chống tin nhắn rác, cuộc gọi rác trên dịch vụ ứng dụng viễn thông trên Internet (OTT), quản lý hoạt động sử dụng dịch vụ thoại qua Internet (VoIP), SIP Trunk; hoàn thiện cơ chế quản lý, sử dụng tên định danh; tăng cường khả năng xác thực, định danh, cảnh báo, truy vết, phát hiện và xử lý các hành vi phát tán tin nhắn rác, cuộc gọi rác, cuộc gọi giả mạo, cuộc gọi có dấu hiệu lừa đảo.</w:t>
      </w:r>
    </w:p>
    <w:p w14:paraId="24ABF7BA"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c) Thiết lập cơ chế quản lý tập trung, thống nhất, dựa trên dữ liệu; tăng cường kết nối, chia sẻ dữ liệu giữa cơ quan quản lý nhà nước và các tổ chức, doanh nghiệp có liên quan; nâng cao hiệu quả của Hệ thống tiếp nhận phản ánh, Cổng thông tin quốc gia về chống tin nhắn rác, thư điện tử rác, cuộc gọi rác, Danh sách không quảng cáo và Hệ thống quản lý tên định danh quốc gia.</w:t>
      </w:r>
    </w:p>
    <w:p w14:paraId="09A760E5"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 Nâng cao hiệu lực, hiệu quả quản lý nhà nước; tăng cường trách nhiệm của doanh nghiệp viễn thông, doanh nghiệp cung cấp dịch vụ Internet, doanh nghiệp cung cấp dịch vụ thư điện tử, doanh nghiệp cung cấp ứng dụng OTT và các tổ chức, cá nhân có liên quan trong việc phát hiện, cảnh báo, ngăn chặn, xử lý và phối hợp xử lý tin nhắn rác, thư điện tử rác, cuộc gọi rác; góp phần phòng ngừa, đấu tranh với tội phạm sử dụng công nghệ cao, bảo vệ quyền và lợi ích hợp pháp của tổ chức, cá nhân, bảo đảm an ninh quốc gia, trật tự, an toàn xã hội trên không gian mạng.</w:t>
      </w:r>
    </w:p>
    <w:p w14:paraId="7E32B643" w14:textId="3CA73F96"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đ) Thực hiện chủ trương cải cách thủ tục hành chính, phân cấp, phân quyền theo Nghị quyết số 22/NQ-CP ngày 29/4/2026 của Chính phủ; phân cấp việc tiếp </w:t>
      </w:r>
      <w:r w:rsidRPr="006B5E23">
        <w:rPr>
          <w:snapToGrid w:val="0"/>
          <w:color w:val="171717"/>
        </w:rPr>
        <w:lastRenderedPageBreak/>
        <w:t>nhận, giải quyết thủ tục cấp Giấy chứng nhận tên định danh cho Công an cấp tỉnh, đồng thời bảo đảm cơ chế hướng dẫn, kiểm tra, giám sát và quản lý thống nhất trên phạm vi toàn quốc.</w:t>
      </w:r>
    </w:p>
    <w:p w14:paraId="507CB119" w14:textId="77777777" w:rsidR="00D1282B" w:rsidRPr="006B5E23" w:rsidRDefault="00D1282B"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2. Quan điểm xây dựng dự thảo Nghị định</w:t>
      </w:r>
    </w:p>
    <w:p w14:paraId="352AAE1E" w14:textId="77777777"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a) Bảo đảm tính hợp hiến, hợp pháp, thống nhất, đồng bộ với hệ thống pháp luật hiện hành; phù hợp với các điều ước quốc tế mà Việt Nam là thành viên; bảo đảm sự thống nhất giữa yêu cầu quản lý nhà nước về viễn thông, an toàn thông tin, an ninh mạng và phòng, chống tội phạm sử dụng công nghệ cao.</w:t>
      </w:r>
    </w:p>
    <w:p w14:paraId="12E6E3B8" w14:textId="4D2B1D4F"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b) Bám sát yêu cầu thực tiễn, </w:t>
      </w:r>
      <w:r w:rsidR="00EF0378" w:rsidRPr="006B5E23">
        <w:rPr>
          <w:lang w:val="en-US"/>
        </w:rPr>
        <w:t>l</w:t>
      </w:r>
      <w:r w:rsidR="00EF0378" w:rsidRPr="006B5E23">
        <w:t xml:space="preserve">ấy người dân, doanh nghiệp làm trung tâm phục vụ; lấy phòng ngừa là chính; </w:t>
      </w:r>
      <w:r w:rsidRPr="006B5E23">
        <w:rPr>
          <w:snapToGrid w:val="0"/>
          <w:color w:val="171717"/>
        </w:rPr>
        <w:t>tăng cường bảo vệ quyền và lợi ích hợp pháp của người sử dụng dịch vụ viễn thông, Internet; chú trọng phòng ngừa từ sớm, từ xa các hành vi lợi dụng không gian mạng để phát tán tin nhắn rác, cuộc gọi rác, thực hiện hành vi lừa đảo và vi phạm pháp luật.</w:t>
      </w:r>
    </w:p>
    <w:p w14:paraId="1F146C69" w14:textId="3A746306"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c) Kế thừa các quy định còn phù hợp </w:t>
      </w:r>
      <w:r w:rsidR="000579F7" w:rsidRPr="006B5E23">
        <w:rPr>
          <w:snapToGrid w:val="0"/>
          <w:color w:val="171717"/>
        </w:rPr>
        <w:t>của Nghị định số 91/2020/NĐ-CP</w:t>
      </w:r>
      <w:r w:rsidR="000579F7" w:rsidRPr="006B5E23">
        <w:rPr>
          <w:snapToGrid w:val="0"/>
          <w:color w:val="171717"/>
          <w:lang w:val="en-US"/>
        </w:rPr>
        <w:t xml:space="preserve">, </w:t>
      </w:r>
      <w:r w:rsidR="000579F7" w:rsidRPr="006B5E23">
        <w:t>đồng thời bổ sung các chính sách mới để điều chỉnh những vấn đề phát sinh mà Nghị định hiện hành chưa quy định</w:t>
      </w:r>
      <w:r w:rsidR="000579F7" w:rsidRPr="006B5E23">
        <w:rPr>
          <w:lang w:val="en-US"/>
        </w:rPr>
        <w:t xml:space="preserve"> hoặc</w:t>
      </w:r>
      <w:r w:rsidRPr="006B5E23">
        <w:rPr>
          <w:snapToGrid w:val="0"/>
          <w:color w:val="171717"/>
        </w:rPr>
        <w:t xml:space="preserve"> không còn phù hợp với thực tiễn phát triển công nghệ, mô hình tổ chức bộ máy và yêu cầu quản lý nhà nước trong tình hình mới.</w:t>
      </w:r>
    </w:p>
    <w:p w14:paraId="3BC343EB" w14:textId="64F634B4" w:rsidR="00D1282B" w:rsidRPr="006B5E23" w:rsidRDefault="00D1282B"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d) Tăng cường ứng dụng công nghệ số, trí tuệ nhân tạo, dữ liệu lớn và cơ chế quản lý dựa trên dữ liệu trong công tác phòng, chống tin nhắn rác, thư điện tử rác, cuộc gọi rác; </w:t>
      </w:r>
      <w:r w:rsidR="00364028" w:rsidRPr="006B5E23">
        <w:t>đẩy mạnh ứng dụng trí tuệ nhân tạo, dữ liệu lớn, tự động hóa; tăng cường kết nối, chia sẻ dữ liệu giữa các cơ quan nhà nước và doanh nghiệp nhằm nâng cao hiệu quả quản lý, giám sát, cảnh báo, điều phối ngăn chặn và xử lý vi phạm.</w:t>
      </w:r>
    </w:p>
    <w:p w14:paraId="06E8119C" w14:textId="147B6745" w:rsidR="00D1282B" w:rsidRPr="006B5E23" w:rsidRDefault="00D1282B" w:rsidP="006B5E23">
      <w:pPr>
        <w:pStyle w:val="BodyText"/>
        <w:tabs>
          <w:tab w:val="left" w:pos="985"/>
        </w:tabs>
        <w:adjustRightInd w:val="0"/>
        <w:snapToGrid w:val="0"/>
        <w:spacing w:before="120"/>
        <w:ind w:firstLine="720"/>
        <w:contextualSpacing/>
        <w:jc w:val="both"/>
      </w:pPr>
      <w:r w:rsidRPr="006B5E23">
        <w:rPr>
          <w:snapToGrid w:val="0"/>
          <w:color w:val="171717"/>
        </w:rPr>
        <w:t xml:space="preserve">đ) </w:t>
      </w:r>
      <w:r w:rsidR="00364028" w:rsidRPr="006B5E23">
        <w:t>Bảo đảm hài hòa giữa yêu cầu quản lý nhà nước, bảo vệ quyền và lợi ích hợp pháp của tổ chức, cá nhân với việc tạo môi trường thuận lợi cho hoạt động sản xuất, kinh doanh hợp pháp; bảo đảm tính khả thi, minh bạch, công khai, hạn chế phát sinh chi phí tuân thủ không cần thiết.</w:t>
      </w:r>
    </w:p>
    <w:p w14:paraId="5D3571B8" w14:textId="06F22C36" w:rsidR="00364028" w:rsidRPr="006B5E23" w:rsidRDefault="00364028" w:rsidP="006B5E23">
      <w:pPr>
        <w:pStyle w:val="BodyText"/>
        <w:tabs>
          <w:tab w:val="left" w:pos="985"/>
        </w:tabs>
        <w:adjustRightInd w:val="0"/>
        <w:snapToGrid w:val="0"/>
        <w:spacing w:before="120"/>
        <w:ind w:firstLine="720"/>
        <w:contextualSpacing/>
        <w:jc w:val="both"/>
        <w:rPr>
          <w:snapToGrid w:val="0"/>
          <w:color w:val="171717"/>
          <w:lang w:val="en-US"/>
        </w:rPr>
      </w:pPr>
      <w:r w:rsidRPr="006B5E23">
        <w:rPr>
          <w:lang w:val="en-US"/>
        </w:rPr>
        <w:t>e) Tăng cường phân công, phân cấp gắn với kiểm tra, giám sát; xác định rõ trách nhiệm của từng cơ quan quản lý nhà nước, doanh nghiệp viễn thông, doanh nghiệp cung cấp nền tảng số và các tổ chức, cá nhân có liên quan; bảo đảm cơ chế phối hợp chặt chẽ, kịp thời trong phòng ngừa, phát hiện, ngăn chặn và xử lý các hành vi vi phạm.</w:t>
      </w:r>
    </w:p>
    <w:p w14:paraId="06158C80"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III. QUÁ TRÌNH XÂY DỰNG NGHỊ ĐỊNH</w:t>
      </w:r>
    </w:p>
    <w:p w14:paraId="54ECAC0F" w14:textId="77777777" w:rsidR="00E67EB3" w:rsidRPr="006B5E23" w:rsidRDefault="00E67EB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được xây dựng theo đúng trình tự, thủ tục quy định của Luật Ban hành văn bản quy phạm pháp luật năm 2025 và Nghị định số 78/2025/NĐ-CP, gồm các bước chủ yếu như sau:</w:t>
      </w:r>
    </w:p>
    <w:p w14:paraId="1691A793" w14:textId="2CC3223A" w:rsidR="00E67EB3" w:rsidRPr="00A159A6" w:rsidRDefault="00E67EB3" w:rsidP="006B5E23">
      <w:pPr>
        <w:pStyle w:val="BodyText"/>
        <w:tabs>
          <w:tab w:val="left" w:pos="985"/>
        </w:tabs>
        <w:adjustRightInd w:val="0"/>
        <w:snapToGrid w:val="0"/>
        <w:spacing w:before="120"/>
        <w:ind w:firstLine="720"/>
        <w:contextualSpacing/>
        <w:jc w:val="both"/>
        <w:rPr>
          <w:snapToGrid w:val="0"/>
          <w:color w:val="000000" w:themeColor="text1"/>
          <w:lang w:val="en-US"/>
        </w:rPr>
      </w:pPr>
      <w:r w:rsidRPr="006B5E23">
        <w:rPr>
          <w:snapToGrid w:val="0"/>
          <w:color w:val="171717"/>
        </w:rPr>
        <w:t xml:space="preserve"> 1</w:t>
      </w:r>
      <w:r w:rsidRPr="00A159A6">
        <w:rPr>
          <w:snapToGrid w:val="0"/>
          <w:color w:val="000000" w:themeColor="text1"/>
        </w:rPr>
        <w:t xml:space="preserve">. </w:t>
      </w:r>
      <w:r w:rsidR="008326A0" w:rsidRPr="00A159A6">
        <w:rPr>
          <w:snapToGrid w:val="0"/>
          <w:color w:val="000000" w:themeColor="text1"/>
        </w:rPr>
        <w:t>Xây dựng kế hoạch</w:t>
      </w:r>
      <w:r w:rsidR="008326A0" w:rsidRPr="00A159A6">
        <w:rPr>
          <w:snapToGrid w:val="0"/>
          <w:color w:val="000000" w:themeColor="text1"/>
          <w:lang w:val="en-US"/>
        </w:rPr>
        <w:t xml:space="preserve"> triển khai xây dựng Nghị định số 91/2020/NĐ-CP về Chống tin nhắn rác</w:t>
      </w:r>
      <w:r w:rsidR="00364028" w:rsidRPr="00A159A6">
        <w:rPr>
          <w:snapToGrid w:val="0"/>
          <w:color w:val="000000" w:themeColor="text1"/>
          <w:lang w:val="en-US"/>
        </w:rPr>
        <w:t>, thư điện tử rác, cuộc gọi rác, trong đó phân công nhiệm vụ cho các đơn vị có liên quan; xây dựng tiến độ thực hiện, bảo đảm tuân thủ quy định của Luật Ban hành văn bản quy phạm pháp luật năm 2025 và Nghị định số 78/2025/NĐ-CP.</w:t>
      </w:r>
    </w:p>
    <w:p w14:paraId="4DCA4039" w14:textId="34999B60" w:rsidR="008326A0" w:rsidRPr="006B5E23" w:rsidRDefault="008326A0" w:rsidP="006B5E23">
      <w:pPr>
        <w:pStyle w:val="BodyText"/>
        <w:tabs>
          <w:tab w:val="left" w:pos="985"/>
        </w:tabs>
        <w:adjustRightInd w:val="0"/>
        <w:snapToGrid w:val="0"/>
        <w:spacing w:before="120"/>
        <w:ind w:firstLine="720"/>
        <w:contextualSpacing/>
        <w:jc w:val="both"/>
        <w:rPr>
          <w:snapToGrid w:val="0"/>
          <w:color w:val="FF0000"/>
          <w:lang w:val="en-US"/>
        </w:rPr>
      </w:pPr>
      <w:r w:rsidRPr="00A159A6">
        <w:rPr>
          <w:snapToGrid w:val="0"/>
          <w:color w:val="000000" w:themeColor="text1"/>
          <w:lang w:val="en-US"/>
        </w:rPr>
        <w:t xml:space="preserve">2. Phối hợp với các Bộ, ngành, Công an các đơn vị địa phương và các Doanh nghiệp viễn thông </w:t>
      </w:r>
      <w:r w:rsidR="00B122C1" w:rsidRPr="006B5E23">
        <w:t xml:space="preserve">và các đơn vị liên quan tổ chức tổng kết toàn diện quá trình thi hành Nghị định số 91/2020/NĐ-CP; đánh giá đầy đủ những kết quả đạt </w:t>
      </w:r>
      <w:r w:rsidR="00B122C1" w:rsidRPr="006B5E23">
        <w:lastRenderedPageBreak/>
        <w:t>được, những khó khăn, vướng mắc, nguyên nhân và các vấn đề mới phát sinh trong thực tiễn; đồng thời nghiên cứu kinh nghiệm quốc tế, rà soát sự phù hợp của Nghị định với hệ thống pháp luật hiện hành để làm cơ sở xây dựng dự thảo Nghị định thay thế.</w:t>
      </w:r>
    </w:p>
    <w:p w14:paraId="3C481171" w14:textId="05F11892" w:rsidR="00B122C1" w:rsidRPr="006B5E23" w:rsidRDefault="00B122C1"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 </w:t>
      </w:r>
      <w:r w:rsidRPr="006B5E23">
        <w:rPr>
          <w:snapToGrid w:val="0"/>
          <w:color w:val="171717"/>
          <w:lang w:val="en-US"/>
        </w:rPr>
        <w:t>3</w:t>
      </w:r>
      <w:r w:rsidRPr="006B5E23">
        <w:rPr>
          <w:snapToGrid w:val="0"/>
          <w:color w:val="171717"/>
        </w:rPr>
        <w:t>. Rà soát</w:t>
      </w:r>
      <w:r w:rsidRPr="006B5E23">
        <w:rPr>
          <w:snapToGrid w:val="0"/>
          <w:color w:val="171717"/>
          <w:lang w:val="en-US"/>
        </w:rPr>
        <w:t xml:space="preserve"> </w:t>
      </w:r>
      <w:r w:rsidRPr="006B5E23">
        <w:t>các quy định của Luật Viễn thông năm 2023, Luật Giao dịch điện tử năm 2023, Luật Dữ liệu, Luật An ninh mạng, Luật Quảng cáo và các văn bản quy phạm pháp luật có liên quan; đồng thời đánh giá tác động của các chính sách dự kiến sửa đổi, bảo đảm tính thống nhất, đồng bộ của hệ thống pháp luật.</w:t>
      </w:r>
      <w:r w:rsidR="00E67EB3" w:rsidRPr="006B5E23">
        <w:rPr>
          <w:snapToGrid w:val="0"/>
          <w:color w:val="171717"/>
        </w:rPr>
        <w:t xml:space="preserve"> </w:t>
      </w:r>
    </w:p>
    <w:p w14:paraId="325BCEF7" w14:textId="4D0AB499" w:rsidR="00B122C1" w:rsidRPr="006B5E23" w:rsidRDefault="00B122C1" w:rsidP="006B5E23">
      <w:pPr>
        <w:pStyle w:val="BodyText"/>
        <w:tabs>
          <w:tab w:val="left" w:pos="985"/>
        </w:tabs>
        <w:adjustRightInd w:val="0"/>
        <w:snapToGrid w:val="0"/>
        <w:spacing w:before="120"/>
        <w:ind w:firstLine="720"/>
        <w:contextualSpacing/>
        <w:jc w:val="both"/>
        <w:rPr>
          <w:snapToGrid w:val="0"/>
          <w:color w:val="171717"/>
          <w:lang w:val="en-US"/>
        </w:rPr>
      </w:pPr>
      <w:r w:rsidRPr="006B5E23">
        <w:rPr>
          <w:snapToGrid w:val="0"/>
          <w:color w:val="171717"/>
          <w:lang w:val="en-US"/>
        </w:rPr>
        <w:t>4</w:t>
      </w:r>
      <w:r w:rsidRPr="006B5E23">
        <w:rPr>
          <w:snapToGrid w:val="0"/>
          <w:color w:val="171717"/>
        </w:rPr>
        <w:t xml:space="preserve">. Trong quá trình xây dựng dự thảo Nghị định sửa đổi, bổ sung Nghị định số 91/2020/NĐ-CP, trên cơ sở kết quả tổng kết thi hành, rà soát hệ thống pháp luật và đánh giá tác động chính sách, Bộ Công an nhận thấy số lượng nội dung cần sửa đổi, bổ sung, bãi bỏ và bổ sung mới chiếm trên 50% số điều của Nghị định hiện hành; đồng thời phát sinh nhiều chính sách mới chưa được quy định. Vì vậy, để bảo đảm tính thống nhất, đồng bộ, thuận lợi trong tổ chức thi hành và phù hợp với quy định của Luật Ban hành văn bản quy phạm pháp luật, Bộ Công an đã báo cáo cấp có thẩm quyền và chuyển từ phương án xây dựng Nghị định sửa đổi, </w:t>
      </w:r>
      <w:r w:rsidRPr="006B5E23">
        <w:rPr>
          <w:snapToGrid w:val="0"/>
          <w:color w:val="171717"/>
          <w:spacing w:val="-4"/>
        </w:rPr>
        <w:t>bổ sung sang phương án xây dựng Nghị định thay thế Nghị định số 91/2020/NĐ-CP</w:t>
      </w:r>
      <w:r w:rsidRPr="006B5E23">
        <w:rPr>
          <w:snapToGrid w:val="0"/>
          <w:color w:val="171717"/>
          <w:spacing w:val="-4"/>
          <w:lang w:val="en-US"/>
        </w:rPr>
        <w:t>.</w:t>
      </w:r>
    </w:p>
    <w:p w14:paraId="78AD534B" w14:textId="1123B565" w:rsidR="00E67EB3" w:rsidRPr="006B5E23" w:rsidRDefault="00B122C1"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lang w:val="en-US"/>
        </w:rPr>
        <w:t>5</w:t>
      </w:r>
      <w:r w:rsidR="00E67EB3" w:rsidRPr="006B5E23">
        <w:rPr>
          <w:snapToGrid w:val="0"/>
          <w:color w:val="171717"/>
        </w:rPr>
        <w:t xml:space="preserve">. </w:t>
      </w:r>
      <w:r w:rsidRPr="006B5E23">
        <w:rPr>
          <w:snapToGrid w:val="0"/>
          <w:color w:val="171717"/>
          <w:lang w:val="en-US"/>
        </w:rPr>
        <w:t>T</w:t>
      </w:r>
      <w:r w:rsidRPr="006B5E23">
        <w:t>ổ chức lấy ý kiến các bộ, ngành, địa phương, doanh nghiệp viễn thông, doanh nghiệp cung cấp dịch vụ Internet</w:t>
      </w:r>
      <w:r w:rsidRPr="006B5E23">
        <w:rPr>
          <w:lang w:val="en-US"/>
        </w:rPr>
        <w:t xml:space="preserve"> </w:t>
      </w:r>
      <w:r w:rsidRPr="006B5E23">
        <w:t>và các cơ quan, tổ chức có liên quan theo quy định của Luật Ban hành văn bản quy phạm pháp luật. Các ý kiến góp ý được tổng hợp, nghiên cứu, tiếp thu, giải trình đầy đủ trong quá trình hoàn thiện dự thảo</w:t>
      </w:r>
      <w:r w:rsidRPr="006B5E23">
        <w:rPr>
          <w:lang w:val="en-US"/>
        </w:rPr>
        <w:t xml:space="preserve"> </w:t>
      </w:r>
      <w:r w:rsidR="00E67EB3" w:rsidRPr="006B5E23">
        <w:rPr>
          <w:snapToGrid w:val="0"/>
          <w:color w:val="171717"/>
        </w:rPr>
        <w:t>(số liệu, kết quả cụ thể sẽ được bổ sung).</w:t>
      </w:r>
    </w:p>
    <w:p w14:paraId="2C616799" w14:textId="74F6E343" w:rsidR="00E67EB3" w:rsidRPr="006B5E23" w:rsidRDefault="00B122C1" w:rsidP="006B5E23">
      <w:pPr>
        <w:pStyle w:val="BodyText"/>
        <w:adjustRightInd w:val="0"/>
        <w:snapToGrid w:val="0"/>
        <w:spacing w:before="120"/>
        <w:contextualSpacing/>
        <w:jc w:val="both"/>
        <w:rPr>
          <w:snapToGrid w:val="0"/>
          <w:color w:val="171717"/>
        </w:rPr>
      </w:pPr>
      <w:r w:rsidRPr="006B5E23">
        <w:rPr>
          <w:snapToGrid w:val="0"/>
          <w:color w:val="171717"/>
        </w:rPr>
        <w:tab/>
      </w:r>
      <w:r w:rsidRPr="006B5E23">
        <w:rPr>
          <w:snapToGrid w:val="0"/>
          <w:color w:val="171717"/>
          <w:lang w:val="en-US"/>
        </w:rPr>
        <w:t>6</w:t>
      </w:r>
      <w:r w:rsidR="00E67EB3" w:rsidRPr="006B5E23">
        <w:rPr>
          <w:snapToGrid w:val="0"/>
          <w:color w:val="171717"/>
        </w:rPr>
        <w:t>. Tiếp thu, giải trình, chỉnh lý hoàn thiện dự thảo Nghị định.</w:t>
      </w:r>
    </w:p>
    <w:p w14:paraId="55A06F62" w14:textId="67373C21" w:rsidR="00B122C1" w:rsidRPr="006B5E23" w:rsidRDefault="00B122C1" w:rsidP="006B5E23">
      <w:pPr>
        <w:pStyle w:val="BodyText"/>
        <w:adjustRightInd w:val="0"/>
        <w:snapToGrid w:val="0"/>
        <w:spacing w:before="120"/>
        <w:contextualSpacing/>
        <w:jc w:val="both"/>
        <w:rPr>
          <w:snapToGrid w:val="0"/>
          <w:color w:val="171717"/>
          <w:lang w:val="en-US"/>
        </w:rPr>
      </w:pPr>
      <w:r w:rsidRPr="006B5E23">
        <w:rPr>
          <w:snapToGrid w:val="0"/>
          <w:color w:val="171717"/>
        </w:rPr>
        <w:tab/>
      </w:r>
      <w:r w:rsidRPr="006B5E23">
        <w:rPr>
          <w:snapToGrid w:val="0"/>
          <w:color w:val="171717"/>
          <w:lang w:val="en-US"/>
        </w:rPr>
        <w:t>7</w:t>
      </w:r>
      <w:r w:rsidR="00E67EB3" w:rsidRPr="006B5E23">
        <w:rPr>
          <w:snapToGrid w:val="0"/>
          <w:color w:val="171717"/>
        </w:rPr>
        <w:t>. Gửi hồ sơ dự thảo Nghị định để Bộ Tư pháp thẩm định theo quy định.</w:t>
      </w:r>
    </w:p>
    <w:p w14:paraId="59DC390F"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IV. BỐ CỤC VÀ NHỮNG NỘI DUNG CƠ BẢN CỦA DỰ THẢO NGHỊ ĐỊNH</w:t>
      </w:r>
    </w:p>
    <w:p w14:paraId="7710AF4B" w14:textId="77777777" w:rsidR="00DA6CA7" w:rsidRPr="006B5E23" w:rsidRDefault="00DA6CA7"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1. Bố cục</w:t>
      </w:r>
    </w:p>
    <w:p w14:paraId="5DF64653" w14:textId="7BBC9126"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được xây dựng theo hướng thay thế toàn bộ Ng</w:t>
      </w:r>
      <w:r w:rsidR="00883CC0">
        <w:rPr>
          <w:snapToGrid w:val="0"/>
          <w:color w:val="171717"/>
        </w:rPr>
        <w:t>hị định số 91/2020/NĐ-CP, gồm 0</w:t>
      </w:r>
      <w:r w:rsidR="00883CC0">
        <w:rPr>
          <w:snapToGrid w:val="0"/>
          <w:color w:val="171717"/>
          <w:lang w:val="en-US"/>
        </w:rPr>
        <w:t>6</w:t>
      </w:r>
      <w:r w:rsidR="00883CC0">
        <w:rPr>
          <w:snapToGrid w:val="0"/>
          <w:color w:val="171717"/>
        </w:rPr>
        <w:t xml:space="preserve"> chương, 4</w:t>
      </w:r>
      <w:r w:rsidR="00883CC0">
        <w:rPr>
          <w:snapToGrid w:val="0"/>
          <w:color w:val="171717"/>
          <w:lang w:val="en-US"/>
        </w:rPr>
        <w:t>8</w:t>
      </w:r>
      <w:r w:rsidRPr="006B5E23">
        <w:rPr>
          <w:snapToGrid w:val="0"/>
          <w:color w:val="171717"/>
        </w:rPr>
        <w:t xml:space="preserve"> điều, quy định về chống tin nhắn rác, thư điện tử rác, cuộc gọi rác; quảng cáo bằng tin nhắn, thư điện tử, gọi điện thoại; phòng, chống tin nhắn rác, cuộc gọi rác trên dịch vụ ứng dụng viễn thông trên </w:t>
      </w:r>
      <w:r w:rsidRPr="00883CC0">
        <w:rPr>
          <w:snapToGrid w:val="0"/>
          <w:color w:val="171717"/>
          <w:spacing w:val="-2"/>
        </w:rPr>
        <w:t>Internet (OTT); quản lý tên định danh; trách nhiệm của các cơ quan, tổ chức, doanh nghiệp và cá nhân có liên quan; chế độ báo cáo và điều khoản thi hành.</w:t>
      </w:r>
      <w:r w:rsidRPr="00883CC0">
        <w:rPr>
          <w:snapToGrid w:val="0"/>
          <w:color w:val="171717"/>
          <w:spacing w:val="-2"/>
          <w:lang w:val="en-US"/>
        </w:rPr>
        <w:t xml:space="preserve"> </w:t>
      </w:r>
      <w:r w:rsidRPr="00883CC0">
        <w:rPr>
          <w:snapToGrid w:val="0"/>
          <w:color w:val="171717"/>
          <w:spacing w:val="-2"/>
        </w:rPr>
        <w:t>Cụ thể:</w:t>
      </w:r>
    </w:p>
    <w:p w14:paraId="62127644" w14:textId="77777777"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r w:rsidRPr="0097278E">
        <w:rPr>
          <w:snapToGrid w:val="0"/>
          <w:color w:val="171717"/>
        </w:rPr>
        <w:t>Dự thảo Nghị định được xây dựng theo hướng thay thế toàn bộ Nghị định số 91/2020/NĐ-CP, gồm 06 chương, 48 điều, quy định về chống tin nhắn rác, thư điện tử rác, cuộc gọi rác; quảng cáo bằng tin nhắn, thư điện tử, gọi điện thoại; phòng, chống tin nhắn rác, cuộc gọi rác trên ứng dụng OTT; quản lý tên định danh; trách nhiệm của các cơ quan, tổ chức, doanh nghiệp và cá nhân có liên quan; chế độ báo cáo; thanh tra, kiểm tra và điều khoản thi hành. Cụ thể:</w:t>
      </w:r>
    </w:p>
    <w:p w14:paraId="0E55F799" w14:textId="69024D50"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r>
        <w:rPr>
          <w:snapToGrid w:val="0"/>
          <w:color w:val="171717"/>
        </w:rPr>
        <w:t>Chương I. Những quy định chung</w:t>
      </w:r>
      <w:r w:rsidRPr="0097278E">
        <w:rPr>
          <w:snapToGrid w:val="0"/>
          <w:color w:val="171717"/>
        </w:rPr>
        <w:t>, gồm 07 điều (từ Điều 1 đến Điều 7), quy định về phạm vi điều chỉnh, đối tượng áp dụng; giải thích các thuật ngữ; chủ thể được gửi tin nhắn phục vụ nhiệm vụ chính trị – xã hội; nội dung và điều kiện gửi tin nhắn phục vụ nhiệm vụ chính trị – xã hội; bộ tiêu chí nhận diện tin nhắn rác, thư điện tử rác, cuộc gọi rác.</w:t>
      </w:r>
    </w:p>
    <w:p w14:paraId="13084EE0" w14:textId="77777777"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p>
    <w:p w14:paraId="40C693E2" w14:textId="49ACC838"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r w:rsidRPr="0097278E">
        <w:rPr>
          <w:snapToGrid w:val="0"/>
          <w:color w:val="171717"/>
        </w:rPr>
        <w:lastRenderedPageBreak/>
        <w:t>Chương II. Chống tin nhắn rác,</w:t>
      </w:r>
      <w:r>
        <w:rPr>
          <w:snapToGrid w:val="0"/>
          <w:color w:val="171717"/>
        </w:rPr>
        <w:t xml:space="preserve"> thư điện tử rác, cuộc gọi rác</w:t>
      </w:r>
      <w:r w:rsidRPr="0097278E">
        <w:rPr>
          <w:snapToGrid w:val="0"/>
          <w:color w:val="171717"/>
        </w:rPr>
        <w:t>, gồm 19 điều (từ Điều 8 đến Điều 26), quy định về các biện pháp chống, ngăn chặn tin nhắn rác, thư điện tử rác, cuộc gọi rác; Hệ thống tiếp nhận phản ánh; điều phối ngăn chặn, xử lý; Danh sách không quảng cáo; Danh sách đen địa chỉ IP/tên miền phát tán thư điện tử rác; Cổng thông tin quốc gia về chống tin nhắn rác, thư điện tử rác, cuộc gọi rác; trách nhiệm của doanh nghiệp cung cấp dịch vụ viễn thông, Internet, thư điện tử, người quảng cáo và người sử dụng; Hệ thống quản lý tên định danh quốc gia; đăng ký, cấp, cấp lại, gia hạn và thu hồi tên định danh.</w:t>
      </w:r>
    </w:p>
    <w:p w14:paraId="0D289C36" w14:textId="1EDC166E"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r w:rsidRPr="0097278E">
        <w:rPr>
          <w:snapToGrid w:val="0"/>
          <w:color w:val="171717"/>
        </w:rPr>
        <w:t>Chương III. Quảng cáo qua tin nhắn, thư điệ</w:t>
      </w:r>
      <w:r>
        <w:rPr>
          <w:snapToGrid w:val="0"/>
          <w:color w:val="171717"/>
        </w:rPr>
        <w:t>n tử, gọi điện thoại</w:t>
      </w:r>
      <w:r w:rsidRPr="0097278E">
        <w:rPr>
          <w:snapToGrid w:val="0"/>
          <w:color w:val="171717"/>
        </w:rPr>
        <w:t>, gồm 11 điều (từ Điều 27 đến Điều 37), quy định về nguyên tắc gửi tin nhắn quảng cáo, thư điện tử quảng cáo, gọi điện thoại quảng cáo; yêu cầu đối với tin nhắn quảng cáo, thư điện tử quảng cáo và cuộc gọi điện thoại quảng cáo; gắn nhãn quảng cáo; chức năng từ chối nhận quảng cáo; thông tin của người quảng cáo; trách nhiệm của người quảng cáo; quản lý khách hàng sử dụng công nghệ thoại qua mạng Internet, bao gồm SIP Trunk, VoIP và Voice Brandname.</w:t>
      </w:r>
    </w:p>
    <w:p w14:paraId="3A98335C" w14:textId="68243FDA"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r w:rsidRPr="0097278E">
        <w:rPr>
          <w:snapToGrid w:val="0"/>
          <w:color w:val="171717"/>
        </w:rPr>
        <w:t xml:space="preserve">Chương IV. Phòng, chống tin nhắn rác, </w:t>
      </w:r>
      <w:r>
        <w:rPr>
          <w:snapToGrid w:val="0"/>
          <w:color w:val="171717"/>
        </w:rPr>
        <w:t>cuộc gọi rác trên ứng dụng OTT</w:t>
      </w:r>
      <w:r w:rsidRPr="0097278E">
        <w:rPr>
          <w:snapToGrid w:val="0"/>
          <w:color w:val="171717"/>
        </w:rPr>
        <w:t>, gồm 04 điều (từ Điều 38 đến Điều 41), quy định về nguyên tắc phòng, chống tin nhắn rác, cuộc gọi rác trên ứng dụng OTT; trách nhiệm của doanh nghiệp cung cấp ứng dụng OTT trong nước; trách nhiệm của doanh nghiệp cung cấp ứng dụng OTT từ nước ngoài cho người sử dụng tại Việt Nam; trách nhiệm của doanh nghiệp viễn thông trong phối hợp phòng, chống tin nhắn rác, cuộc gọi rác trên ứng dụng OTT.</w:t>
      </w:r>
    </w:p>
    <w:p w14:paraId="51C1792B" w14:textId="1192C5D7" w:rsidR="0097278E" w:rsidRPr="0097278E" w:rsidRDefault="0097278E" w:rsidP="0097278E">
      <w:pPr>
        <w:pStyle w:val="BodyText"/>
        <w:tabs>
          <w:tab w:val="left" w:pos="985"/>
        </w:tabs>
        <w:adjustRightInd w:val="0"/>
        <w:snapToGrid w:val="0"/>
        <w:spacing w:before="120"/>
        <w:ind w:firstLine="720"/>
        <w:contextualSpacing/>
        <w:jc w:val="both"/>
        <w:rPr>
          <w:snapToGrid w:val="0"/>
          <w:color w:val="171717"/>
        </w:rPr>
      </w:pPr>
      <w:r w:rsidRPr="0097278E">
        <w:rPr>
          <w:snapToGrid w:val="0"/>
          <w:color w:val="171717"/>
        </w:rPr>
        <w:t>Chương</w:t>
      </w:r>
      <w:r>
        <w:rPr>
          <w:snapToGrid w:val="0"/>
          <w:color w:val="171717"/>
        </w:rPr>
        <w:t xml:space="preserve"> V. Quy định về chế độ báo cáo</w:t>
      </w:r>
      <w:r w:rsidRPr="0097278E">
        <w:rPr>
          <w:snapToGrid w:val="0"/>
          <w:color w:val="171717"/>
        </w:rPr>
        <w:t>, gồm 03 điều (từ Điều 42 đến Điều 44), quy định về chế độ báo cáo của các tổ chức, cá nhân, doanh nghiệp có liên quan; thời gian, hình thức báo cáo; thanh tra, kiểm tra hoạt động chống tin nhắn rác, thư điện tử rác, cuộc gọi rác.</w:t>
      </w:r>
    </w:p>
    <w:p w14:paraId="553B51E0" w14:textId="1BE51656" w:rsidR="0097278E" w:rsidRDefault="0097278E" w:rsidP="0097278E">
      <w:pPr>
        <w:pStyle w:val="BodyText"/>
        <w:tabs>
          <w:tab w:val="left" w:pos="985"/>
        </w:tabs>
        <w:adjustRightInd w:val="0"/>
        <w:snapToGrid w:val="0"/>
        <w:spacing w:before="120"/>
        <w:ind w:firstLine="720"/>
        <w:contextualSpacing/>
        <w:jc w:val="both"/>
        <w:rPr>
          <w:snapToGrid w:val="0"/>
          <w:color w:val="171717"/>
        </w:rPr>
      </w:pPr>
      <w:r>
        <w:rPr>
          <w:snapToGrid w:val="0"/>
          <w:color w:val="171717"/>
        </w:rPr>
        <w:t>Chương VI. Điều khoản thi hành</w:t>
      </w:r>
      <w:r w:rsidRPr="0097278E">
        <w:rPr>
          <w:snapToGrid w:val="0"/>
          <w:color w:val="171717"/>
        </w:rPr>
        <w:t>, gồm 04 điều (từ Điều 45 đến Điều 48), quy định về hiệu lực thi hành; quy định chuyển tiếp đối với tên định danh đã được cấp, khai báo, đăng ký hoặc đang được sử dụng; trách nhiệm tổ chức thực hiện Nghị định và trách nhiệm thi hành của các Bộ, cơ quan, địa phương và các tổ chức, cá nhân có liên quan.</w:t>
      </w:r>
    </w:p>
    <w:p w14:paraId="255546F6" w14:textId="60F61EE4"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xây dựng bố cục Nghị định theo hướng trên nhằm bảo đảm tính thống nhất, logic giữa các nhóm quy định; đồng thời làm rõ cơ chế quản lý, điều phối, trách nhiệm của từng chủ thể và các biện pháp phòng ngừa, phát hiện, cảnh báo, ngăn chặn, xử lý tin nhắn rác, thư điện tử rác, cuộc gọi rác phù hợp với yêu cầu quản lý nhà nước trong tình hình mới.</w:t>
      </w:r>
    </w:p>
    <w:p w14:paraId="10D8E009" w14:textId="42685077" w:rsidR="00DA6CA7" w:rsidRPr="006B5E23" w:rsidRDefault="00DA6CA7"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2. Những nội dung cơ bản</w:t>
      </w:r>
    </w:p>
    <w:p w14:paraId="7FD888D8" w14:textId="77777777" w:rsidR="00DA6CA7" w:rsidRPr="00380D47" w:rsidRDefault="00DA6CA7" w:rsidP="006B5E23">
      <w:pPr>
        <w:pStyle w:val="BodyText"/>
        <w:tabs>
          <w:tab w:val="left" w:pos="985"/>
        </w:tabs>
        <w:adjustRightInd w:val="0"/>
        <w:snapToGrid w:val="0"/>
        <w:spacing w:before="120"/>
        <w:ind w:firstLine="720"/>
        <w:contextualSpacing/>
        <w:jc w:val="both"/>
        <w:rPr>
          <w:snapToGrid w:val="0"/>
          <w:color w:val="171717"/>
          <w:spacing w:val="-4"/>
        </w:rPr>
      </w:pPr>
      <w:r w:rsidRPr="00380D47">
        <w:rPr>
          <w:snapToGrid w:val="0"/>
          <w:color w:val="171717"/>
          <w:spacing w:val="-4"/>
        </w:rPr>
        <w:t>Dự thảo Nghị định tập trung sửa đổi, bổ sung các nhóm nội dung cơ bản sau:</w:t>
      </w:r>
    </w:p>
    <w:p w14:paraId="6F55C7DA"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được xây dựng trên cơ sở kế thừa các quy định còn phù hợp của Nghị định số 91/2020/NĐ-CP, đồng thời sửa đổi, bổ sung, lược bỏ và quy định mới đối với các nội dung chưa phù hợp hoặc chưa được quy định, nhằm hoàn thiện cơ chế phòng, chống tin nhắn rác, thư điện tử rác, cuộc gọi rác, đáp ứng yêu cầu quản lý nhà nước trong tình hình mới. Các nội dung cơ bản của dự thảo Nghị định gồm:</w:t>
      </w:r>
    </w:p>
    <w:p w14:paraId="766E1A6C" w14:textId="46B2F7E3"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lastRenderedPageBreak/>
        <w:t>(1) Hoàn thiện phạm vi điều chỉnh, đối tượng áp dụng và các quy định về giải thích thuật ngữ, trong đó bổ sung, làm rõ các khái niệm liên quan đến nguồn gửi, nguồn thực hiện cuộc gọi, nguồn nhận, tin nhắn phục vụ nhiệm vụ chính trị – xã hội, tên định danh, SIP Trunk, dịch vụ thoại trên nền giao thức Internet (VoIP) và dịch vụ ứng dụng viễn thông trên Internet (OTT), bảo đảm thống nhất với hệ thống pháp luật hiện hành và phù hợp với thực tiễn phát sinh.</w:t>
      </w:r>
    </w:p>
    <w:p w14:paraId="75E8B0E9" w14:textId="71B5939B"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(2) Bổ sung, hoàn thiện quy định về tin nhắn phục vụ nhiệm vụ chính trị – xã hội, xác định rõ chủ thể được gửi, nội dung được phép gửi, nguyên tắc và điều kiện thực hiện; bảo đảm hoạt động thông tin, tuyên truyền phục vụ nhiệm vụ chính trị – xã hội được thực hiện đúng mục đích, đúng chủ thể, đồng thời phòng ngừa việc lợi dụng danh nghĩa này để phát tán tin nhắn rác hoặc lồng ghép nội dung quảng cáo.</w:t>
      </w:r>
    </w:p>
    <w:p w14:paraId="453B90DB" w14:textId="7D98895C"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(3) Hoàn thiện cơ chế phòng, chống, phát hiện và xử lý tin nhắn rác, thư điện tử rác, cuộc gọi rác theo hướng quản lý tập trung, thống nhất và dựa trên dữ liệu, bao gồm xây dựng và áp dụng Bộ tiêu chí nhận diện; xây dựng, quản lý, vận hành Hệ thống tiếp nhận phản ánh và Cổng thông tin quốc gia về chống tin nhắn rác, thư điện tử rác, cuộc gọi rác; điều phối ngăn chặn, xử lý; quản lý, chia sẻ thông tin, dữ liệu về nguồn phát tán; xây dựng và cập nhật Danh sách đen địa chỉ IP/tên miền phát tán thư điện tử rác.</w:t>
      </w:r>
    </w:p>
    <w:p w14:paraId="076E46A0" w14:textId="3BF72BC4"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(4) Hoàn thiện cơ chế quản lý Danh sách không quảng cáo (DoNotCall) theo hướng bảo đảm quyền đăng ký, hủy đăng ký của người sử dụng; tăng cường xác thực đối với số điện thoại đăng ký; kết nối, đồng bộ, chia sẻ có kiểm soát với doanh nghiệp viễn thông và các hệ thống kỹ thuật có liên quan; bảo đảm sử dụng thông tin, dữ liệu đúng mục đích, an ninh mạng và bảo vệ dữ liệu cá nhân.</w:t>
      </w:r>
    </w:p>
    <w:p w14:paraId="64C35975" w14:textId="51814D29"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(5) Hoàn thiện trách nhiệm của doanh nghiệp cung cấp dịch vụ viễn thông, dịch vụ Internet, thư điện tử và các chủ thể có liên quan trong việc xây dựng, vận hành hệ thống kỹ thuật phòng, chống tin nhắn rác, thư điện tử rác, cuộc gọi rác; tiếp nhận, xác minh, xử lý phản ánh; phát hiện, cảnh báo, ngăn chặn nguồn phát tán; kết nối, chia sẻ dữ liệu với hệ thống của Bộ Công an; quản lý, giám sát hoạt động sử dụng tên định danh; lưu trữ, thống kê và báo cáo dữ liệu phục vụ công tác quản lý nhà nước.</w:t>
      </w:r>
    </w:p>
    <w:p w14:paraId="373DE031" w14:textId="74A78551"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(6) Hoàn thiện cơ chế quản lý tên định danh theo hướng quản lý tập trung, thống nhất trên phạm vi toàn quốc, bao gồm xây dựng, vận hành Hệ thống quản lý tên định danh quốc gia; quy định về đăng ký, cấp, cấp lại, gia hạn, thu hồi và sử dụng tên định danh; quy định về số lượng tên định danh được cấp; quản lý riêng đối với tên định danh của cơ quan Đảng, Nhà nước, Mặt trận Tổ quốc Việt Nam và các tổ chức chính trị - xã hội; đồng thời thực hiện phân cấp thủ tục cấp Giấy chứng nhận tên định danh cho Công an cấp tỉnh gắn với cơ chế hướng dẫn, kiểm tra, giám sát và quản lý thống nhất.</w:t>
      </w:r>
    </w:p>
    <w:p w14:paraId="1B017CEE" w14:textId="6BA8D34E"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(7) Hoàn thiện các quy định về quảng cáo bằng tin nhắn, thư điện tử, gọi điện thoại, trong đó quy định rõ nguyên tắc gửi, cơ chế đăng ký và xác nhận đồng ý nhận quảng cáo, thời gian và tần suất gửi, yêu cầu gắn nhãn, chức năng từ chối, trách nhiệm lưu trữ thông tin về sự đồng ý và từ chối nhận quảng cáo; tăng cường trách nhiệm của người quảng cáo trong việc kiểm tra Danh sách không quảng cáo và bảo đảm việc gửi quảng cáo đúng đối tượng, đúng quy định.</w:t>
      </w:r>
    </w:p>
    <w:p w14:paraId="7CCAD0E3" w14:textId="65A3735A"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lastRenderedPageBreak/>
        <w:t xml:space="preserve">(8) Tăng cường quản lý hoạt động sử dụng VoIP, SIP Trunk và tên định danh trong thực hiện cuộc gọi, theo hướng yêu cầu tổ chức, doanh nghiệp sử dụng SIP Trunk, VoIP để phát sinh cuộc gọi ra mạng viễn thông công cộng phải đăng ký và sử dụng Voice Brandname; doanh nghiệp viễn thông thực hiện kiểm tra điều kiện của khách hàng, quản lý việc cấp kênh SIP Trunk, kiểm soát việc sử dụng tên định danh, lưu trữ nhật ký cuộc gọi và phối hợp phát hiện, ngăn chặn các cuộc gọi không đáp ứng yêu cầu về định danh, góp phần nâng cao khả năng xác thực, </w:t>
      </w:r>
      <w:r w:rsidRPr="0097278E">
        <w:rPr>
          <w:snapToGrid w:val="0"/>
          <w:color w:val="171717"/>
          <w:spacing w:val="-6"/>
        </w:rPr>
        <w:t>truy vết và phòng, chống cuộc gọi rác, cuộc gọi giả mạo, cuộc gọi có dấu hiệu lừa đảo.</w:t>
      </w:r>
    </w:p>
    <w:p w14:paraId="5C32FAC8" w14:textId="106AC75F"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(9) Bổ sung cơ chế phòng, chống tin nhắn rác, cuộc gọi rác trên dịch vụ ứng dụng viễn thông trên Internet (OTT), quy định trách nhiệm của doanh nghiệp cung cấp dịch vụ OTT trong nước, doanh nghiệp cung cấp dịch vụ OTT từ nước ngoài cho người sử dụng tại Việt Nam và doanh nghiệp viễn thông trong việc phối hợp phòng, chống, phát hiện, ngăn chặn và xử lý tin nhắn rác, cuộc gọi rác; bảo đảm phù hợp với đặc điểm kỹ thuật, phạm vi cung cấp dịch vụ và khả năng thực hiện của từng chủ thể.</w:t>
      </w:r>
    </w:p>
    <w:p w14:paraId="62E53D20" w14:textId="4D697BE6"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(10) Hoàn thiện chế độ báo cáo và trách nhiệm tổ chức thực hiện, quy định về nguyên tắc, hình thức, thời hạn, nội dung báo cáo; trách nhiệm của các cơ quan, tổ chức, doanh nghiệp trong việc cung cấp thông tin, số liệu phục vụ công tác quản lý nhà nước; đồng thời quy định trách nhiệm của các Bộ, ngành, Ủy ban nhân dân cấp tỉnh và các cơ quan, tổ chức, cá nhân có liên quan trong tổ chức thực hiện Nghị định.</w:t>
      </w:r>
    </w:p>
    <w:p w14:paraId="48EE669C" w14:textId="51784E5D"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Các nội dung của dự thảo Nghị định được xây dựng nhằm hình thành cơ chế phòng, chống tin nhắn rác, thư điện tử rác, cuộc gọi rác theo hướng quản lý tập trung, thống nhất, dựa trên dữ liệu; tăng cường định danh, xác thực và truy vết nguồn phát tán; nâng cao trách nhiệm của doanh nghiệp và các chủ thể có liên quan; chủ động phòng ngừa, phát hiện, cảnh báo, ngăn chặn và xử lý vi phạm, qua đó góp phần bảo vệ quyền, lợi ích hợp pháp của tổ chức, cá nhân, bảo đảm an ninh quốc gia, trật tự, an toàn xã hội trên không gian mạng.</w:t>
      </w:r>
    </w:p>
    <w:p w14:paraId="69FFD40B"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3. Về việc tuân thủ các nội dung quy định tại khoản 2 Điều 6 Nghị định số 78/2025/NĐ-CP của Chính phủ quy định chi tiết một số điều và biện pháp để tổ chức, hướng dẫn thi hành Luật Ban hành văn bản quy phạm pháp luật</w:t>
      </w:r>
    </w:p>
    <w:p w14:paraId="2E7A7ABD"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a) Về nội dung sửa đổi, hoàn thiện</w:t>
      </w:r>
    </w:p>
    <w:p w14:paraId="020A5204"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được xây dựng trên cơ sở tổng kết thực tiễn thi hành Nghị định số 91/2020/NĐ-CP, rà soát hệ thống pháp luật có liên quan và đánh giá những khó khăn, vướng mắc phát sinh trong thực tiễn. Trên cơ sở đó, dự thảo Nghị định sửa đổi, hoàn thiện các quy định về phạm vi điều chỉnh, đối tượng áp dụng, giải thích thuật ngữ; các biện pháp phòng, chống tin nhắn rác, thư điện tử rác, cuộc gọi rác; cơ chế tiếp nhận, xử lý phản ánh; Danh sách không quảng cáo; quản lý tên định danh; hoạt động quảng cáo qua tin nhắn, thư điện tử, gọi điện thoại; trách nhiệm của doanh nghiệp viễn thông, doanh nghiệp cung cấp dịch vụ Internet, dịch vụ thư điện tử và các tổ chức, cá nhân có liên quan; quản lý hoạt động sử dụng dịch vụ SIP Trunk, VoIP và Voice Brandname.</w:t>
      </w:r>
    </w:p>
    <w:p w14:paraId="51447F5D"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Đồng thời, dự thảo Nghị định hoàn thiện cơ chế quản lý theo hướng tập trung, thống nhất, dựa trên dữ liệu; tăng cường kết nối, chia sẻ thông tin, dữ liệu giữa cơ quan quản lý nhà nước và các doanh nghiệp; nâng cao hiệu quả phát hiện, </w:t>
      </w:r>
      <w:r w:rsidRPr="006B5E23">
        <w:rPr>
          <w:snapToGrid w:val="0"/>
          <w:color w:val="171717"/>
        </w:rPr>
        <w:lastRenderedPageBreak/>
        <w:t>cảnh báo, ngăn chặn, xử lý tin nhắn rác, thư điện tử rác, cuộc gọi rác; tăng cường khả năng định danh, xác thực và truy vết nguồn phát tán.</w:t>
      </w:r>
    </w:p>
    <w:p w14:paraId="1145F085"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 Về nội dung bổ sung</w:t>
      </w:r>
    </w:p>
    <w:p w14:paraId="13C53F3A"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bổ sung các quy định chưa được quy định hoặc chưa được quy định đầy đủ tại Nghị định số 91/2020/NĐ-CP, tập trung vào các nội dung:</w:t>
      </w:r>
    </w:p>
    <w:p w14:paraId="45C1904A"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quy định về tin nhắn phục vụ nhiệm vụ chính trị – xã hội, xác định rõ chủ thể, nội dung và nguyên tắc gửi, qua đó tạo cơ sở pháp lý cho hoạt động thông tin phục vụ nhiệm vụ chính trị – xã hội và phòng ngừa việc lợi dụng danh nghĩa này để phát tán tin nhắn rác hoặc quảng cáo trái quy định;</w:t>
      </w:r>
    </w:p>
    <w:p w14:paraId="2DC93FAD"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Bộ tiêu chí nhận diện tin nhắn rác, thư điện tử rác, cuộc gọi rác và cơ chế cập nhật, hướng dẫn áp dụng phù hợp với diễn biến thực tiễn và phương thức vi phạm mới;</w:t>
      </w:r>
    </w:p>
    <w:p w14:paraId="1C9C8CB1"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Cổng thông tin quốc gia về chống tin nhắn rác, thư điện tử rác, cuộc gọi rác; hoàn thiện Hệ thống tiếp nhận phản ánh và cơ chế điều phối, ngăn chặn, xử lý trên phạm vi toàn quốc;</w:t>
      </w:r>
    </w:p>
    <w:p w14:paraId="3CCE28A9"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hoàn thiện quy định về Hệ thống quản lý tên định danh quốc gia, quy trình đăng ký, cấp, cấp lại, gia hạn, thu hồi tên định danh và quản lý việc sử dụng tên định danh;</w:t>
      </w:r>
    </w:p>
    <w:p w14:paraId="4BFAA460"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quy định về trách nhiệm của tổ chức, doanh nghiệp sử dụng dịch vụ SIP Trunk, VoIP trong việc đăng ký và sử dụng Voice Brandname khi phát sinh cuộc gọi ra mạng viễn thông công cộng; trách nhiệm của doanh nghiệp viễn thông trong kiểm tra, quản lý, lưu trữ và phối hợp xử lý;</w:t>
      </w:r>
    </w:p>
    <w:p w14:paraId="6980CD91"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quy định về phòng, chống tin nhắn rác, cuộc gọi rác trên dịch vụ ứng dụng viễn thông trên Internet (OTT), trong đó xác định trách nhiệm của doanh nghiệp cung cấp dịch vụ OTT trong nước, doanh nghiệp OTT từ nước ngoài cung cấp dịch vụ cho người sử dụng tại Việt Nam và doanh nghiệp viễn thông trong việc phối hợp phòng, chống tin nhắn rác, cuộc gọi rác;</w:t>
      </w:r>
    </w:p>
    <w:p w14:paraId="0D5B1396"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Bổ sung quy định về chế độ báo cáo, trách nhiệm cung cấp thông tin, dữ liệu phục vụ công tác quản lý nhà nước và tổ chức thực hiện Nghị định.</w:t>
      </w:r>
    </w:p>
    <w:p w14:paraId="19101EA9"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c) Về nội dung lược bỏ</w:t>
      </w:r>
    </w:p>
    <w:p w14:paraId="15845819"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lược bỏ các quy định không còn phù hợp với mô hình tổ chức quản lý nhà nước, sự phát triển của công nghệ và yêu cầu thực tiễn; lược bỏ các quy định trùng lặp, không còn cần thiết hoặc đã được điều chỉnh tại các văn bản quy phạm pháp luật khác.</w:t>
      </w:r>
    </w:p>
    <w:p w14:paraId="2270070E"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Đồng thời, dự thảo Nghị định lược bỏ các nội dung không còn thuộc phạm vi điều chỉnh của dự thảo sau khi rà soát, bảo đảm Nghị định tập trung vào các quan hệ xã hội trực tiếp liên quan đến phòng, chống tin nhắn rác, thư điện tử rác, cuộc gọi rác và quảng cáo qua các phương thức liên lạc thuộc phạm vi điều chỉnh của Nghị định.</w:t>
      </w:r>
    </w:p>
    <w:p w14:paraId="1CCADFE1"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 Về nội dung cắt giảm, đơn giản hóa thủ tục hành chính</w:t>
      </w:r>
    </w:p>
    <w:p w14:paraId="248EA553"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Dự thảo Nghị định thực hiện cắt giảm, đơn giản hóa thủ tục hành chính trong lĩnh vực quản lý tên định danh theo hướng đẩy mạnh tiếp nhận, xử lý hồ sơ và trả kết quả trên môi trường điện tử; quy định rõ thành phần, trình tự, thời hạn </w:t>
      </w:r>
      <w:r w:rsidRPr="006B5E23">
        <w:rPr>
          <w:snapToGrid w:val="0"/>
          <w:color w:val="171717"/>
        </w:rPr>
        <w:lastRenderedPageBreak/>
        <w:t>giải quyết hồ sơ; giảm các yêu cầu không cần thiết đối với tổ chức, cá nhân thực hiện thủ tục.</w:t>
      </w:r>
    </w:p>
    <w:p w14:paraId="4E0CAD5E"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quy định rõ thời hạn xem xét tính hợp lệ của hồ sơ, phương thức thông báo, cấp Giấy chứng nhận tên định danh bằng phương thức điện tử góp phần rút ngắn thời gian giải quyết, giảm chi phí tuân thủ, tạo thuận lợi cho tổ chức, doanh nghiệp và nâng cao tính minh bạch, trách nhiệm giải trình của cơ quan giải quyết thủ tục hành chính.</w:t>
      </w:r>
    </w:p>
    <w:p w14:paraId="2850B889"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 Về nội dung phân quyền, phân cấp</w:t>
      </w:r>
    </w:p>
    <w:p w14:paraId="6E620FB1"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thực hiện phân cấp việc tiếp nhận, giải quyết thủ tục cấp Giấy chứng nhận tên định danh cho Công an cấp tỉnh theo chủ trương tại Nghị quyết số 22/NQ-CP ngày 29/4/2026 của Chính phủ.</w:t>
      </w:r>
    </w:p>
    <w:p w14:paraId="14967C76"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phân cấp được thực hiện gắn với cơ chế quản lý thống nhất Hệ thống quản lý tên định danh quốc gia; hướng dẫn, kiểm tra, giám sát của cơ quan quản lý ở Trung ương; bảo đảm thống nhất về điều kiện, quy trình, tiêu chuẩn và dữ liệu quản lý trên phạm vi toàn quốc, đồng thời nâng cao hiệu quả quản lý và khả năng xử lý các vấn đề phát sinh tại địa phương.</w:t>
      </w:r>
    </w:p>
    <w:p w14:paraId="4200B982"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e) Về vấn đề còn ý kiến khác nhau cần xin ý kiến cấp có thẩm quyền và kiến nghị phương án giải quyết</w:t>
      </w:r>
    </w:p>
    <w:p w14:paraId="24590270" w14:textId="77777777"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Trong quá trình xây dựng và hoàn thiện dự thảo Nghị định, Bộ Công an đã tổ chức lấy ý kiến các bộ, ngành, địa phương, doanh nghiệp và các cơ quan, tổ chức có liên quan; các ý kiến góp ý đã được tổng hợp, nghiên cứu, tiếp thu, giải trình và chỉnh lý dự thảo.</w:t>
      </w:r>
    </w:p>
    <w:p w14:paraId="139410CE" w14:textId="1456F1E1" w:rsidR="007B00CE" w:rsidRPr="006B5E23" w:rsidRDefault="007B00CE"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Đối với các nội dung còn có ý kiến khác nhau, Bộ Công an tiếp tục phối hợp với các cơ quan có liên quan nghiên cứu, thống nhất phương án xử lý trên cơ sở bảo đảm tính hợp hiến, hợp pháp, tính thống nhất, đồng bộ của hệ thống pháp luật, tính khả thi trong tổ chức thực hiện và đáp ứng yêu cầu quản lý nhà nước trong tình hình mới; trường hợp còn vấn đề thuộc thẩm quyền quyết định của Chính phủ, Bộ Công an sẽ báo cáo, xin ý kiến Chính phủ xem xét, quyết định.</w:t>
      </w:r>
    </w:p>
    <w:p w14:paraId="5FBD669E"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V. TÍNH TƯƠNG THÍCH VỚI ĐIỀU ƯỚC QUỐC TẾ; BẢO ĐẢM YÊU CẦU VỀ QUỐC PHÒNG, AN NINH; DỰ KIẾN NGUỒN LỰC, ĐIỀU KIỆN BẢO ĐẢM CHO VIỆC THI HÀNH VĂN BẢN</w:t>
      </w:r>
    </w:p>
    <w:p w14:paraId="7FD21B06"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1. Tính tương thích với điều ước quốc tế mà Việt Nam là thành viên</w:t>
      </w:r>
    </w:p>
    <w:p w14:paraId="6DCA67C2"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được xây dựng trên cơ sở tuân thủ Hiến pháp, pháp luật Việt Nam và bảo đảm phù hợp với các điều ước quốc tế mà nước Cộng hòa xã hội chủ nghĩa Việt Nam là thành viên có liên quan đến lĩnh vực viễn thông, Internet, giao dịch điện tử, thương mại điện tử, bảo vệ quyền lợi người tiêu dùng, an ninh mạng, an toàn thông tin mạng và phòng, chống tội phạm sử dụng công nghệ cao. Qua rà soát, đối chiếu cho thấy các quy định của dự thảo Nghị định không làm phát sinh mâu thuẫn, xung đột với các nghĩa vụ quốc tế mà Việt Nam đã cam kết.</w:t>
      </w:r>
    </w:p>
    <w:p w14:paraId="2FAD3504"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Các quy định của dự thảo Nghị định về phòng, chống tin nhắn rác, thư điện tử rác, cuộc gọi rác; quản lý hoạt động quảng cáo qua tin nhắn, thư điện tử, gọi điện thoại; quản lý tên định danh; trách nhiệm của doanh nghiệp viễn thông, doanh nghiệp cung cấp dịch vụ Internet, thư điện tử và dịch vụ ứng dụng viễn thông trên Internet (OTT); cơ chế tiếp nhận, xử lý phản ánh; kết nối, chia sẻ thông tin, dữ liệu và phối hợp ngăn chặn, xử lý vi phạm được xây dựng theo hướng minh bạch, </w:t>
      </w:r>
      <w:r w:rsidRPr="006B5E23">
        <w:rPr>
          <w:snapToGrid w:val="0"/>
          <w:color w:val="171717"/>
        </w:rPr>
        <w:lastRenderedPageBreak/>
        <w:t>thống nhất, không phân biệt đối xử và không tạo ra rào cản không cần thiết đối với hoạt động cung cấp dịch vụ hợp pháp.</w:t>
      </w:r>
    </w:p>
    <w:p w14:paraId="45F06CA7"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Đối với các cam kết quốc tế của Việt Nam trong khuôn khổ Tổ chức Thương mại thế giới (WTO), Hiệp định Đối tác Toàn diện và Tiến bộ xuyên Thái Bình Dương (CPTPP), Hiệp định Thương mại tự do giữa Việt Nam và Liên minh châu Âu (EVFTA) và các hiệp định thương mại tự do khác có liên quan đến cung cấp dịch vụ viễn thông, dịch vụ số và thương mại điện tử, qua rà soát cho thấy dự thảo Nghị định không đặt ra điều kiện đầu tư, kinh doanh hoặc hạn chế tiếp cận thị trường trái với các cam kết của Việt Nam. Các quy định về trách nhiệm phối hợp, cung cấp thông tin, lưu trữ dữ liệu, phòng ngừa, phát hiện và xử lý vi phạm được xây dựng nhằm bảo vệ người sử dụng, bảo đảm an ninh mạng, trật tự, an toàn xã hội và được áp dụng trên cơ sở phù hợp với quy định của pháp luật Việt Nam và các cam kết quốc tế có liên quan.</w:t>
      </w:r>
    </w:p>
    <w:p w14:paraId="16BD00B8"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Đồng thời, dự thảo Nghị định bảo đảm quyền của Nhà nước trong việc áp dụng các biện pháp cần thiết để bảo vệ an ninh quốc gia, trật tự, an toàn xã hội, quyền và lợi ích hợp pháp của tổ chức, cá nhân trên không gian mạng theo quy định của pháp luật và phù hợp với các ngoại lệ được thừa nhận trong các điều ước quốc tế mà Việt Nam là thành viên. Các quy định về yêu cầu phối hợp cung cấp thông tin, ngăn chặn, xử lý nguồn phát tán tin nhắn rác, thư điện tử rác, cuộc gọi rác và các biện pháp kỹ thuật cần thiết được xây dựng nhằm phục vụ yêu cầu phòng ngừa, phát hiện và xử lý hành vi vi phạm pháp luật, bảo vệ người sử dụng và bảo đảm an ninh, an toàn trên không gian mạng.</w:t>
      </w:r>
    </w:p>
    <w:p w14:paraId="55F0F00E"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Đối với các quy định liên quan đến dịch vụ ứng dụng viễn thông trên Internet (OTT), dự thảo Nghị định xác định trách nhiệm của doanh nghiệp cung cấp dịch vụ trên cơ sở phạm vi cung cấp dịch vụ, đối tượng người sử dụng và khả năng thực hiện các biện pháp phòng, chống tin nhắn rác, cuộc gọi rác; không phân biệt đối xử giữa doanh nghiệp trong nước và doanh nghiệp nước ngoài chỉ trên cơ sở quốc tịch, đồng thời bảo đảm yêu cầu quản lý nhà nước đối với dịch vụ cung cấp cho người sử dụng tại Việt Nam.</w:t>
      </w:r>
    </w:p>
    <w:p w14:paraId="4BDE4811" w14:textId="159890BC"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Qua rà soát, đối chiếu, Bộ Công an nhận thấy dự thảo Nghị định cơ bản bảo đảm tính tương thích với các điều ước quốc tế mà nước Cộng hòa xã hội chủ nghĩa Việt Nam là thành viên, không làm phát sinh mâu thuẫn, xung đột với các cam kết quốc tế của Việt Nam, đồng thời bảo đảm sự cân bằng giữa yêu cầu hội nhập, phát triển dịch vụ số với yêu cầu bảo vệ người sử dụng, bảo đảm an ninh quốc gia, trật tự, an toàn xã hội và phòng, chống các hành vi lợi dụng hạ tầng viễn thông, Internet để vi phạm pháp luật.</w:t>
      </w:r>
    </w:p>
    <w:p w14:paraId="22A34219"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2. Bảo đảm yêu cầu về quốc phòng, an ninh</w:t>
      </w:r>
    </w:p>
    <w:p w14:paraId="60351E08"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Thực tiễn thời gian qua cho thấy tin nhắn rác, thư điện tử rác, cuộc gọi rác không còn đơn thuần là hoạt động quảng cáo trái phép mà ngày càng bị lợi dụng làm phương thức để các đối tượng tiếp cận, lừa đảo, thu thập thông tin, dữ liệu cá nhân, phát tán đường dẫn độc hại, mã độc, giả mạo cơ quan, tổ chức, doanh nghiệp và thực hiện các hành vi vi phạm pháp luật trên không gian mạng. Đặc biệt, việc lợi dụng các phương thức liên lạc như VoIP, SIP Trunk, dịch vụ ứng dụng viễn thông trên Internet (OTT), số thuê bao, tên định danh không hợp lệ hoặc giả mạo </w:t>
      </w:r>
      <w:r w:rsidRPr="006B5E23">
        <w:rPr>
          <w:snapToGrid w:val="0"/>
          <w:color w:val="171717"/>
        </w:rPr>
        <w:lastRenderedPageBreak/>
        <w:t>có thể làm gia tăng nguy cơ che giấu nguồn phát tán, gây khó khăn cho công tác xác minh, truy vết và xử lý của cơ quan chức năng.</w:t>
      </w:r>
    </w:p>
    <w:p w14:paraId="2C6FA6D0"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Do đó, công tác phòng, chống tin nhắn rác, thư điện tử rác, cuộc gọi rác không chỉ là yêu cầu quản lý đối với hoạt động quảng cáo và dịch vụ viễn thông mà còn có ý nghĩa quan trọng trong bảo đảm an ninh mạng, phòng ngừa, đấu tranh với tội phạm sử dụng công nghệ cao, bảo vệ quyền và lợi ích hợp pháp của tổ chức, cá nhân, góp phần bảo đảm an ninh quốc gia, trật tự, an toàn xã hội trên không gian mạng.</w:t>
      </w:r>
    </w:p>
    <w:p w14:paraId="2BB982FE"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Dự thảo Nghị định được xây dựng trên cơ sở quán triệt chủ trương, đường lối của Đảng và chính sách, pháp luật của Nhà nước về bảo vệ an ninh quốc gia, bảo đảm an ninh mạng, trật tự, an toàn xã hội và phòng, chống tội phạm sử dụng công nghệ cao; đồng thời bảo đảm hài hòa giữa yêu cầu quản lý nhà nước với quyền, lợi ích hợp pháp của tổ chức, cá nhân và yêu cầu phát triển các dịch vụ viễn thông, Internet, dịch vụ ứng dụng viễn thông trên Internet.</w:t>
      </w:r>
    </w:p>
    <w:p w14:paraId="4F162A70"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Các quy định của dự thảo Nghị định theo hướng tăng cường định danh, xác thực và khả năng truy vết nguồn phát tán, quản lý chặt chẽ tên định danh, tăng cường trách nhiệm của doanh nghiệp viễn thông và các doanh nghiệp cung cấp dịch vụ có liên quan; xây dựng cơ chế tiếp nhận, phân tích, chia sẻ thông tin, dữ liệu; phát hiện, cảnh báo, ngăn chặn và xử lý tin nhắn rác, thư điện tử rác, cuộc gọi rác và cuộc gọi có dấu hiệu lừa đảo. Đặc biệt, dự thảo quy định trách nhiệm đối với tổ chức, doanh nghiệp sử dụng dịch vụ SIP Trunk, VoIP trong việc đăng ký, sử dụng Voice Brandname khi phát sinh cuộc gọi ra mạng viễn thông công cộng, góp phần nâng cao khả năng xác định chủ thể thực hiện cuộc gọi và phục vụ công tác truy vết, xử lý vi phạm.</w:t>
      </w:r>
    </w:p>
    <w:p w14:paraId="24C772D3"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Đối với dịch vụ ứng dụng viễn thông trên Internet (OTT), dự thảo Nghị định bổ sung cơ chế và trách nhiệm phối hợp phòng, chống tin nhắn rác, cuộc gọi rác phù hợp với phạm vi cung cấp dịch vụ và khả năng thực hiện của từng chủ thể. Việc bổ sung các quy định này nhằm hạn chế việc lợi dụng các dịch vụ, nền tảng số để phát tán thông tin rác, thực hiện hành vi giả mạo, lừa đảo hoặc vi phạm pháp luật, đồng thời nâng cao khả năng phối hợp giữa doanh nghiệp cung cấp dịch vụ, doanh nghiệp viễn thông và cơ quan quản lý nhà nước.</w:t>
      </w:r>
    </w:p>
    <w:p w14:paraId="3C424DDA"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Bên cạnh đó, dự thảo Nghị định quy định cơ chế quản lý tập trung, thống nhất thông qua Cổng thông tin quốc gia về chống tin nhắn rác, thư điện tử rác, cuộc gọi rác, Hệ thống tiếp nhận phản ánh, Danh sách không quảng cáo, Danh sách đen địa chỉ IP/tên miền và Hệ thống quản lý tên định danh quốc gia; qua đó tăng cường khả năng thu thập, phân tích, chia sẻ thông tin, dữ liệu và điều phối các biện pháp phòng ngừa, phát hiện, cảnh báo, ngăn chặn và xử lý trên phạm vi toàn quốc.</w:t>
      </w:r>
    </w:p>
    <w:p w14:paraId="6F461315"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Các biện pháp quản lý, xử lý và chia sẻ thông tin, dữ liệu theo dự thảo Nghị định được thực hiện trong phạm vi, điều kiện và trình tự do pháp luật quy định, bảo đảm yêu cầu về an ninh mạng, bảo vệ dữ liệu cá nhân, quyền và lợi ích hợp pháp của tổ chức, cá nhân; không làm ảnh hưởng đến hoạt động cung cấp, sử dụng dịch vụ hợp pháp.</w:t>
      </w:r>
    </w:p>
    <w:p w14:paraId="126742E5" w14:textId="18D40453"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Qua rà soát, đánh giá, dự thảo Nghị định không làm phát sinh các yếu tố ảnh hưởng tiêu cực đến quốc phòng, an ninh; ngược lại, việc hoàn thiện cơ chế </w:t>
      </w:r>
      <w:r w:rsidRPr="006B5E23">
        <w:rPr>
          <w:snapToGrid w:val="0"/>
          <w:color w:val="171717"/>
        </w:rPr>
        <w:lastRenderedPageBreak/>
        <w:t>quản lý, định danh, xác thực, chia sẻ dữ liệu và điều phối phòng, chống tin nhắn rác, thư điện tử rác, cuộc gọi rác sẽ góp phần nâng cao năng lực phòng ngừa, phát hiện, ngăn chặn và xử lý các hành vi lợi dụng hạ tầng viễn thông, Internet và không gian mạng để xâm phạm an ninh quốc gia, trật tự, an toàn xã hội, góp phần bảo vệ người dân, doanh nghiệp và các tổ chức trên không gian mạng.</w:t>
      </w:r>
    </w:p>
    <w:p w14:paraId="0D563763" w14:textId="77777777" w:rsidR="00E67EB3" w:rsidRPr="006B5E23" w:rsidRDefault="00E67EB3"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3. Dự kiến nguồn lực, điều kiện bảo đảm cho việc thi hành văn bản</w:t>
      </w:r>
    </w:p>
    <w:p w14:paraId="3D7AF908"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tổ chức thi hành Nghị định được thực hiện trên cơ sở sử dụng nguồn lực, nhân lực, cơ sở vật chất, hạ tầng kỹ thuật và các hệ thống thông tin hiện có của các cơ quan, tổ chức, doanh nghiệp; đồng thời từng bước nâng cấp, hoàn thiện để đáp ứng yêu cầu quản lý nhà nước về phòng, chống tin nhắn rác, thư điện tử rác, cuộc gọi rác trong tình hình mới.</w:t>
      </w:r>
    </w:p>
    <w:p w14:paraId="6F041AB5" w14:textId="7C9D10B1" w:rsidR="006B5E23" w:rsidRPr="006B5E23" w:rsidRDefault="006B5E2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Về nguồn lực, nhân lực của cơ quan quản lý nhà nước: Việc tổ chức thực hiện Nghị định được bố trí trong phạm vi chức năng, nhiệm vụ, tổ chức bộ máy và biên chế được cấp có thẩm quyền giao của các cơ quan, đơn vị có liên quan; không thành lập tổ chức mới, không làm phát sinh đầu mối tổ chức và không làm tăng số lượng biên chế hưởng lương từ ngân sách nhà nước. Bộ Công an và các cơ quan, đơn vị có liên quan sử dụng đội ngũ cán bộ, công chức, viên chức hiện có để thực hiện công tác quản lý, vận hành hệ thống, tiếp nhận và xử lý phản ánh, quản lý tên định danh, hướng dẫn, kiểm tra, thanh tra, tổng hợp thông tin, dữ liệu và thực hiện chế độ báo cáo theo chức năng, nhiệm vụ được giao.</w:t>
      </w:r>
    </w:p>
    <w:p w14:paraId="03BDE1DB" w14:textId="77777777" w:rsidR="006B5E23" w:rsidRPr="006B5E23" w:rsidRDefault="006B5E2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Đối với các nhiệm vụ phát sinh do yêu cầu tăng cường quản lý, ứng dụng công nghệ và triển khai các hệ thống thông tin, các cơ quan, đơn vị thực hiện rà soát, phân công, điều chỉnh nhiệm vụ trong nội bộ, nâng cao năng lực chuyên môn, đẩy mạnh ứng dụng công nghệ và tự động hóa, bảo đảm sử dụng hiệu quả nguồn nhân lực hiện có, không bố trí thêm biên chế chỉ để thực hiện các nhiệm vụ thuộc phạm vi điều chỉnh của Nghị định.</w:t>
      </w:r>
    </w:p>
    <w:p w14:paraId="3C7F2E4F" w14:textId="77777777" w:rsidR="006B5E23" w:rsidRPr="006B5E23" w:rsidRDefault="006B5E2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phân cấp thủ tục cấp Giấy chứng nhận tên định danh cho Công an cấp tỉnh được thực hiện trong phạm vi tổ chức bộ máy, chức năng, nhiệm vụ và biên chế hiện có của Công an địa phương, không thành lập tổ chức hoặc bố trí thêm biên chế để thực hiện thủ tục này. Việc tổ chức thực hiện được gắn với việc ứng dụng Hệ thống quản lý tên định danh quốc gia, xử lý hồ sơ trên môi trường điện tử và phân công nhiệm vụ phù hợp trong nội bộ, qua đó giảm chi phí và thời gian thực hiện, đồng thời nâng cao hiệu quả quản lý.</w:t>
      </w:r>
    </w:p>
    <w:p w14:paraId="5885CF8E" w14:textId="55216142" w:rsidR="009F2B06" w:rsidRPr="006B5E23" w:rsidRDefault="006B5E23"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bố trí, sử dụng và quản lý nhân lực thực hiện Nghị định phải bảo đảm tinh gọn, hiệu lực, hiệu quả, đúng chức năng, nhiệm vụ, không chồng chéo, không trùng lặp, phù hợp với chủ trương tiếp tục đổi mới, sắp xếp tổ chức bộ máy của hệ thống chính trị tinh gọn, hoạt động hiệu lực, hiệu quả và yêu cầu quản lý biên chế theo quy định của Đảng, Nhà nước.</w:t>
      </w:r>
    </w:p>
    <w:p w14:paraId="4234D7D0"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Về hạ tầng kỹ thuật và hệ thống thông tin: Tiếp tục khai thác, duy trì và từng bước nâng cấp các hệ thống, nền tảng kỹ thuật hiện có, bao gồm Hệ thống tiếp nhận phản ánh, Cổng thông tin quốc gia về chống tin nhắn rác, thư điện tử rác, cuộc gọi rác, Hệ thống quản lý tên định danh quốc gia, hệ thống quản lý Danh sách không quảng cáo và các hệ thống kỹ thuật có liên quan; bảo đảm khả năng kết nối, tích hợp, chia sẻ thông tin, dữ liệu giữa cơ quan quản lý nhà nước và các doanh nghiệp theo quy định của pháp luật. Việc đầu tư, nâng cấp hệ thống được </w:t>
      </w:r>
      <w:r w:rsidRPr="006B5E23">
        <w:rPr>
          <w:snapToGrid w:val="0"/>
          <w:color w:val="171717"/>
        </w:rPr>
        <w:lastRenderedPageBreak/>
        <w:t>thực hiện theo lộ trình, phù hợp với yêu cầu quản lý, khả năng cân đối nguồn lực và quy định của pháp luật về đầu tư, ngân sách, công nghệ thông tin và chuyển đổi số.</w:t>
      </w:r>
    </w:p>
    <w:p w14:paraId="6C68A60F"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Về nguồn lực của doanh nghiệp: Doanh nghiệp cung cấp dịch vụ viễn thông, dịch vụ Internet, dịch vụ thư điện tử, dịch vụ ứng dụng viễn thông trên Internet (OTT) và các tổ chức, cá nhân có liên quan có trách nhiệm chủ động bố trí nhân lực, hạ tầng kỹ thuật và kinh phí trong phạm vi hoạt động của mình để thực hiện các yêu cầu về phòng, chống tin nhắn rác, thư điện tử rác, cuộc gọi rác; xây dựng, duy trì hệ thống phát hiện, cảnh báo, ngăn chặn; tiếp nhận và xử lý phản ánh; kết nối, chia sẻ thông tin, dữ liệu; quản lý tên định danh; lưu trữ thông tin, dữ liệu và thực hiện chế độ báo cáo theo quy định của Nghị định.</w:t>
      </w:r>
    </w:p>
    <w:p w14:paraId="6B18DE60"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Về kinh phí: Kinh phí thực hiện Nghị định được bảo đảm từ ngân sách nhà nước theo phân cấp ngân sách hiện hành đối với các nhiệm vụ do cơ quan nhà nước thực hiện và từ nguồn kinh phí hợp pháp của các tổ chức, doanh nghiệp đối với các nhiệm vụ thuộc trách nhiệm của tổ chức, doanh nghiệp. Việc quản lý, sử dụng kinh phí bảo đảm đúng mục đích, tiết kiệm, hiệu quả và tuân thủ quy định của pháp luật.</w:t>
      </w:r>
    </w:p>
    <w:p w14:paraId="153BA2D1" w14:textId="77777777"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Về tổ chức thực hiện và đào tạo, hướng dẫn: Sau khi Nghị định được ban hành, Bộ Công an chủ trì, phối hợp với các bộ, ngành, địa phương, doanh nghiệp và các cơ quan, tổ chức có liên quan tổ chức phổ biến, hướng dẫn và triển khai thực hiện; xây dựng, ban hành hoặc cập nhật các quy trình, tiêu chí, hướng dẫn kỹ thuật thuộc thẩm quyền; tổ chức đào tạo, tập huấn nghiệp vụ cho các đơn vị trực tiếp thực hiện, bảo đảm Nghị định được triển khai thống nhất trên phạm vi toàn quốc.</w:t>
      </w:r>
    </w:p>
    <w:p w14:paraId="302E89CD" w14:textId="14C852A2" w:rsidR="009F2B06" w:rsidRPr="006B5E23" w:rsidRDefault="009F2B06"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Việc triển khai Nghị định được thực hiện theo lộ trình, bảo đảm tận dụng tối đa hạ tầng, hệ thống và nguồn lực hiện có, hạn chế đầu tư trùng lặp, không làm phát sinh tổ chức, bộ máy mới và không tạo gánh nặng chi phí không cần thiết cho cơ quan nhà nước, doanh nghiệp và người sử dụng; đồng thời đáp ứng yêu cầu nâng cao năng lực phòng ngừa, phát hiện, cảnh báo, ngăn chặn và xử lý tin nhắn rác, thư điện tử rác, cuộc gọi rác trong tình hình mới.</w:t>
      </w:r>
    </w:p>
    <w:p w14:paraId="6B80C0A5" w14:textId="77777777" w:rsidR="00EB0FCA" w:rsidRPr="006B5E23" w:rsidRDefault="00EB0FCA" w:rsidP="006B5E23">
      <w:pPr>
        <w:pStyle w:val="BodyText"/>
        <w:tabs>
          <w:tab w:val="left" w:pos="985"/>
        </w:tabs>
        <w:adjustRightInd w:val="0"/>
        <w:snapToGrid w:val="0"/>
        <w:spacing w:before="120"/>
        <w:ind w:firstLine="720"/>
        <w:contextualSpacing/>
        <w:jc w:val="both"/>
        <w:rPr>
          <w:b/>
          <w:snapToGrid w:val="0"/>
          <w:color w:val="171717"/>
        </w:rPr>
      </w:pPr>
      <w:r w:rsidRPr="006B5E23">
        <w:rPr>
          <w:b/>
          <w:snapToGrid w:val="0"/>
          <w:color w:val="171717"/>
        </w:rPr>
        <w:t>VI. NỘI DUNG XIN Ý KIẾN CHÍNH PHỦ</w:t>
      </w:r>
    </w:p>
    <w:p w14:paraId="07DBBE2A" w14:textId="56EC1D13" w:rsidR="00EB0FCA" w:rsidRPr="006B5E23" w:rsidRDefault="00EB0FCA" w:rsidP="006B5E23">
      <w:pPr>
        <w:pStyle w:val="BodyText"/>
        <w:tabs>
          <w:tab w:val="left" w:pos="985"/>
        </w:tabs>
        <w:adjustRightInd w:val="0"/>
        <w:snapToGrid w:val="0"/>
        <w:spacing w:before="120"/>
        <w:ind w:firstLine="720"/>
        <w:contextualSpacing/>
        <w:jc w:val="both"/>
        <w:rPr>
          <w:snapToGrid w:val="0"/>
          <w:color w:val="171717"/>
        </w:rPr>
      </w:pPr>
      <w:r w:rsidRPr="006B5E23">
        <w:rPr>
          <w:snapToGrid w:val="0"/>
          <w:color w:val="171717"/>
        </w:rPr>
        <w:t xml:space="preserve">Trên đây là Tờ trình về dự thảo Nghị định </w:t>
      </w:r>
      <w:r w:rsidR="00441B90">
        <w:rPr>
          <w:snapToGrid w:val="0"/>
          <w:color w:val="171717"/>
          <w:lang w:val="en-US"/>
        </w:rPr>
        <w:t>thay thế</w:t>
      </w:r>
      <w:r w:rsidRPr="006B5E23">
        <w:rPr>
          <w:snapToGrid w:val="0"/>
          <w:color w:val="171717"/>
          <w:lang w:val="en-US"/>
        </w:rPr>
        <w:t xml:space="preserve"> Nghị định 91/2020/NĐ-CP của Chính phủ về Chống tin nhắn rác, thư điện tử rác, cuộc gọi rác;</w:t>
      </w:r>
      <w:r w:rsidRPr="006B5E23">
        <w:rPr>
          <w:snapToGrid w:val="0"/>
          <w:color w:val="171717"/>
        </w:rPr>
        <w:t xml:space="preserve"> Bộ </w:t>
      </w:r>
      <w:r w:rsidRPr="006B5E23">
        <w:rPr>
          <w:snapToGrid w:val="0"/>
          <w:color w:val="171717"/>
          <w:lang w:val="en-US"/>
        </w:rPr>
        <w:t>Công an</w:t>
      </w:r>
      <w:r w:rsidRPr="006B5E23">
        <w:rPr>
          <w:snapToGrid w:val="0"/>
          <w:color w:val="171717"/>
        </w:rPr>
        <w:t xml:space="preserve"> kính trình Chính phủ xem xét, quyết định./.</w:t>
      </w:r>
    </w:p>
    <w:p w14:paraId="2EF7539C" w14:textId="384118EB" w:rsidR="00D15EAF" w:rsidRPr="006B5E23" w:rsidRDefault="00E67EB3" w:rsidP="006B5E23">
      <w:pPr>
        <w:pStyle w:val="BodyText"/>
        <w:tabs>
          <w:tab w:val="left" w:pos="985"/>
        </w:tabs>
        <w:adjustRightInd w:val="0"/>
        <w:snapToGrid w:val="0"/>
        <w:spacing w:before="120"/>
        <w:ind w:firstLine="720"/>
        <w:contextualSpacing/>
        <w:jc w:val="both"/>
        <w:rPr>
          <w:snapToGrid w:val="0"/>
        </w:rPr>
      </w:pPr>
      <w:r w:rsidRPr="006B5E23">
        <w:rPr>
          <w:i/>
          <w:snapToGrid w:val="0"/>
          <w:color w:val="171717"/>
        </w:rPr>
        <w:t xml:space="preserve"> </w:t>
      </w:r>
      <w:r w:rsidR="00D018DD" w:rsidRPr="006B5E23">
        <w:rPr>
          <w:i/>
          <w:snapToGrid w:val="0"/>
          <w:color w:val="171717"/>
        </w:rPr>
        <w:t xml:space="preserve">(Xin gửi kèm theo: </w:t>
      </w:r>
      <w:bookmarkStart w:id="0" w:name="bookmark200"/>
      <w:bookmarkEnd w:id="0"/>
      <w:r w:rsidR="00B65735" w:rsidRPr="006B5E23">
        <w:rPr>
          <w:i/>
          <w:color w:val="171717"/>
        </w:rPr>
        <w:t>(1) Dự thảo Nghị định; (2)</w:t>
      </w:r>
      <w:bookmarkStart w:id="1" w:name="bookmark201"/>
      <w:bookmarkEnd w:id="1"/>
      <w:r w:rsidR="00B65735" w:rsidRPr="006B5E23">
        <w:rPr>
          <w:i/>
          <w:color w:val="171717"/>
        </w:rPr>
        <w:t xml:space="preserve"> Bản so sánh, thuyết minh nội dung dự thảo;</w:t>
      </w:r>
      <w:r w:rsidR="00DA6CA7" w:rsidRPr="006B5E23">
        <w:rPr>
          <w:i/>
          <w:color w:val="171717"/>
          <w:lang w:val="en-US"/>
        </w:rPr>
        <w:t xml:space="preserve"> (3) Báo cáo tổng kết thi hành Nghị định;</w:t>
      </w:r>
      <w:r w:rsidR="00B65735" w:rsidRPr="006B5E23">
        <w:rPr>
          <w:i/>
          <w:color w:val="171717"/>
        </w:rPr>
        <w:t xml:space="preserve"> </w:t>
      </w:r>
      <w:r w:rsidR="002463DB" w:rsidRPr="006B5E23">
        <w:rPr>
          <w:i/>
          <w:color w:val="171717"/>
        </w:rPr>
        <w:t>(</w:t>
      </w:r>
      <w:r w:rsidR="00DA6CA7" w:rsidRPr="006B5E23">
        <w:rPr>
          <w:i/>
          <w:color w:val="171717"/>
          <w:lang w:val="en-US"/>
        </w:rPr>
        <w:t>4</w:t>
      </w:r>
      <w:r w:rsidR="00B65735" w:rsidRPr="006B5E23">
        <w:rPr>
          <w:i/>
          <w:color w:val="171717"/>
        </w:rPr>
        <w:t xml:space="preserve">) Báo cáo thẩm định; (5) </w:t>
      </w:r>
      <w:r w:rsidR="00B86D6C" w:rsidRPr="006B5E23">
        <w:rPr>
          <w:i/>
          <w:color w:val="171717"/>
        </w:rPr>
        <w:t>B</w:t>
      </w:r>
      <w:r w:rsidR="00B65735" w:rsidRPr="006B5E23">
        <w:rPr>
          <w:i/>
          <w:color w:val="171717"/>
        </w:rPr>
        <w:t>áo cáo tiếp thu, giải trình ý kiến thẩm định</w:t>
      </w:r>
      <w:r w:rsidR="003E56B3" w:rsidRPr="006B5E23">
        <w:rPr>
          <w:i/>
          <w:color w:val="171717"/>
        </w:rPr>
        <w:t>).</w:t>
      </w:r>
    </w:p>
    <w:tbl>
      <w:tblPr>
        <w:tblW w:w="9390" w:type="dxa"/>
        <w:tblInd w:w="108" w:type="dxa"/>
        <w:tblLook w:val="01E0" w:firstRow="1" w:lastRow="1" w:firstColumn="1" w:lastColumn="1" w:noHBand="0" w:noVBand="0"/>
      </w:tblPr>
      <w:tblGrid>
        <w:gridCol w:w="4477"/>
        <w:gridCol w:w="4913"/>
      </w:tblGrid>
      <w:tr w:rsidR="00B708BB" w:rsidRPr="007769C5" w14:paraId="2EF753AF" w14:textId="77777777" w:rsidTr="002463DB">
        <w:trPr>
          <w:trHeight w:val="1311"/>
        </w:trPr>
        <w:tc>
          <w:tcPr>
            <w:tcW w:w="4477" w:type="dxa"/>
          </w:tcPr>
          <w:p w14:paraId="2EF7539D" w14:textId="77777777" w:rsidR="003E56B3" w:rsidRPr="007769C5" w:rsidRDefault="00B708BB" w:rsidP="00EE2699">
            <w:pPr>
              <w:rPr>
                <w:b/>
                <w:sz w:val="24"/>
                <w:szCs w:val="24"/>
              </w:rPr>
            </w:pPr>
            <w:r w:rsidRPr="007769C5">
              <w:rPr>
                <w:snapToGrid w:val="0"/>
              </w:rPr>
              <w:t xml:space="preserve"> </w:t>
            </w:r>
            <w:r w:rsidRPr="007769C5">
              <w:rPr>
                <w:b/>
                <w:i/>
                <w:sz w:val="24"/>
                <w:szCs w:val="24"/>
              </w:rPr>
              <w:t>Nơi nhận:</w:t>
            </w:r>
            <w:r w:rsidRPr="007769C5">
              <w:rPr>
                <w:b/>
                <w:sz w:val="24"/>
                <w:szCs w:val="24"/>
              </w:rPr>
              <w:t xml:space="preserve"> </w:t>
            </w:r>
          </w:p>
          <w:p w14:paraId="2EF7539E" w14:textId="77777777" w:rsidR="00B708BB" w:rsidRPr="007769C5" w:rsidRDefault="00DE303C" w:rsidP="00EE2699">
            <w:pPr>
              <w:rPr>
                <w:sz w:val="20"/>
                <w:szCs w:val="22"/>
              </w:rPr>
            </w:pPr>
            <w:r w:rsidRPr="007769C5">
              <w:rPr>
                <w:sz w:val="22"/>
                <w:szCs w:val="24"/>
              </w:rPr>
              <w:t>- Như trên</w:t>
            </w:r>
            <w:r w:rsidR="003E56B3" w:rsidRPr="007769C5">
              <w:rPr>
                <w:sz w:val="22"/>
                <w:szCs w:val="24"/>
              </w:rPr>
              <w:t>;</w:t>
            </w:r>
            <w:r w:rsidR="00B708BB" w:rsidRPr="007769C5">
              <w:rPr>
                <w:sz w:val="20"/>
                <w:szCs w:val="22"/>
              </w:rPr>
              <w:t xml:space="preserve">                                                                                 </w:t>
            </w:r>
          </w:p>
          <w:p w14:paraId="2EF7539F" w14:textId="77777777" w:rsidR="00CB4D2A" w:rsidRPr="007769C5" w:rsidRDefault="00B708BB" w:rsidP="00EE2699">
            <w:pPr>
              <w:rPr>
                <w:sz w:val="22"/>
                <w:szCs w:val="22"/>
              </w:rPr>
            </w:pPr>
            <w:r w:rsidRPr="007769C5">
              <w:rPr>
                <w:sz w:val="22"/>
                <w:szCs w:val="22"/>
              </w:rPr>
              <w:t xml:space="preserve">- </w:t>
            </w:r>
            <w:r w:rsidR="00CB4D2A" w:rsidRPr="007769C5">
              <w:rPr>
                <w:sz w:val="22"/>
                <w:szCs w:val="22"/>
              </w:rPr>
              <w:t>Thủ tướng Chính phủ</w:t>
            </w:r>
            <w:r w:rsidR="003D62D3" w:rsidRPr="007769C5">
              <w:rPr>
                <w:sz w:val="22"/>
                <w:szCs w:val="22"/>
              </w:rPr>
              <w:t xml:space="preserve"> (để báo cáo)</w:t>
            </w:r>
            <w:r w:rsidR="00DE303C" w:rsidRPr="007769C5">
              <w:rPr>
                <w:sz w:val="22"/>
                <w:szCs w:val="22"/>
              </w:rPr>
              <w:t>;</w:t>
            </w:r>
          </w:p>
          <w:p w14:paraId="2EF753A0" w14:textId="77777777" w:rsidR="00CB4D2A" w:rsidRPr="007769C5" w:rsidRDefault="00CB4D2A" w:rsidP="00EE2699">
            <w:pPr>
              <w:rPr>
                <w:sz w:val="22"/>
                <w:szCs w:val="22"/>
              </w:rPr>
            </w:pPr>
            <w:r w:rsidRPr="007769C5">
              <w:rPr>
                <w:sz w:val="22"/>
                <w:szCs w:val="22"/>
              </w:rPr>
              <w:t>- Các Phó Thủ tướng</w:t>
            </w:r>
            <w:r w:rsidR="003D62D3" w:rsidRPr="007769C5">
              <w:rPr>
                <w:sz w:val="22"/>
                <w:szCs w:val="22"/>
              </w:rPr>
              <w:t xml:space="preserve"> (để báo cáo);</w:t>
            </w:r>
          </w:p>
          <w:p w14:paraId="2EF753A1" w14:textId="77777777" w:rsidR="003E56B3" w:rsidRPr="007769C5" w:rsidRDefault="00CB4D2A" w:rsidP="00EE2699">
            <w:pPr>
              <w:rPr>
                <w:sz w:val="22"/>
                <w:szCs w:val="22"/>
              </w:rPr>
            </w:pPr>
            <w:r w:rsidRPr="007769C5">
              <w:rPr>
                <w:sz w:val="22"/>
                <w:szCs w:val="22"/>
              </w:rPr>
              <w:t>- Văn phòng Chính phủ;</w:t>
            </w:r>
          </w:p>
          <w:p w14:paraId="2EF753A2" w14:textId="77777777" w:rsidR="003E56B3" w:rsidRPr="007769C5" w:rsidRDefault="003E56B3" w:rsidP="00EE2699">
            <w:pPr>
              <w:rPr>
                <w:sz w:val="22"/>
                <w:szCs w:val="22"/>
              </w:rPr>
            </w:pPr>
            <w:r w:rsidRPr="007769C5">
              <w:rPr>
                <w:sz w:val="22"/>
                <w:szCs w:val="22"/>
              </w:rPr>
              <w:t>- Bộ Tư pháp;</w:t>
            </w:r>
          </w:p>
          <w:p w14:paraId="2EF753A3" w14:textId="7FEF0CA2" w:rsidR="003D62D3" w:rsidRPr="007769C5" w:rsidRDefault="003D62D3" w:rsidP="00EE2699">
            <w:pPr>
              <w:rPr>
                <w:sz w:val="22"/>
                <w:szCs w:val="22"/>
              </w:rPr>
            </w:pPr>
            <w:r w:rsidRPr="007769C5">
              <w:rPr>
                <w:sz w:val="22"/>
                <w:szCs w:val="22"/>
              </w:rPr>
              <w:t xml:space="preserve">- </w:t>
            </w:r>
            <w:r w:rsidR="002463DB">
              <w:rPr>
                <w:sz w:val="22"/>
                <w:szCs w:val="22"/>
                <w:lang w:val="en-US"/>
              </w:rPr>
              <w:t>TK1</w:t>
            </w:r>
            <w:r w:rsidRPr="007769C5">
              <w:rPr>
                <w:sz w:val="22"/>
                <w:szCs w:val="22"/>
              </w:rPr>
              <w:t xml:space="preserve"> (để </w:t>
            </w:r>
            <w:r w:rsidR="002463DB">
              <w:rPr>
                <w:sz w:val="22"/>
                <w:szCs w:val="22"/>
                <w:lang w:val="en-US"/>
              </w:rPr>
              <w:t>b/cáo Đ/c Bộ trưởng</w:t>
            </w:r>
            <w:r w:rsidRPr="007769C5">
              <w:rPr>
                <w:sz w:val="22"/>
                <w:szCs w:val="22"/>
              </w:rPr>
              <w:t>);</w:t>
            </w:r>
          </w:p>
          <w:p w14:paraId="2EF753A4" w14:textId="219874CF" w:rsidR="00B708BB" w:rsidRPr="00F15864" w:rsidRDefault="00F15864" w:rsidP="00EE2699">
            <w:pPr>
              <w:rPr>
                <w:sz w:val="22"/>
                <w:szCs w:val="22"/>
                <w:lang w:val="en-US"/>
              </w:rPr>
            </w:pPr>
            <w:r>
              <w:rPr>
                <w:sz w:val="22"/>
                <w:szCs w:val="22"/>
                <w:lang w:val="en-US"/>
              </w:rPr>
              <w:t>;</w:t>
            </w:r>
          </w:p>
          <w:p w14:paraId="2EF753A5" w14:textId="2D90F42B" w:rsidR="00B708BB" w:rsidRPr="00F15864" w:rsidRDefault="00B708BB" w:rsidP="00F15864">
            <w:pPr>
              <w:rPr>
                <w:sz w:val="24"/>
                <w:szCs w:val="24"/>
                <w:lang w:val="en-US"/>
              </w:rPr>
            </w:pPr>
            <w:r w:rsidRPr="007769C5">
              <w:rPr>
                <w:sz w:val="22"/>
                <w:szCs w:val="22"/>
              </w:rPr>
              <w:t>- Lưu: VT</w:t>
            </w:r>
            <w:r w:rsidR="00F15864">
              <w:rPr>
                <w:sz w:val="22"/>
                <w:szCs w:val="22"/>
                <w:lang w:val="en-US"/>
              </w:rPr>
              <w:t xml:space="preserve"> </w:t>
            </w:r>
            <w:r w:rsidR="002463DB">
              <w:rPr>
                <w:sz w:val="22"/>
                <w:szCs w:val="22"/>
                <w:lang w:val="en-US"/>
              </w:rPr>
              <w:t>,BCA(A05).PVP.17b.</w:t>
            </w:r>
          </w:p>
        </w:tc>
        <w:tc>
          <w:tcPr>
            <w:tcW w:w="4913" w:type="dxa"/>
          </w:tcPr>
          <w:p w14:paraId="2EF753A6" w14:textId="77777777" w:rsidR="00B708BB" w:rsidRPr="007769C5" w:rsidRDefault="003D62D3" w:rsidP="00A57A61">
            <w:pPr>
              <w:jc w:val="center"/>
              <w:rPr>
                <w:b/>
              </w:rPr>
            </w:pPr>
            <w:r w:rsidRPr="007769C5">
              <w:rPr>
                <w:b/>
              </w:rPr>
              <w:t xml:space="preserve">KT. </w:t>
            </w:r>
            <w:r w:rsidR="00B708BB" w:rsidRPr="007769C5">
              <w:rPr>
                <w:b/>
              </w:rPr>
              <w:t>BỘ TRƯỞNG</w:t>
            </w:r>
          </w:p>
          <w:p w14:paraId="2EF753A7" w14:textId="77777777" w:rsidR="003D62D3" w:rsidRPr="007769C5" w:rsidRDefault="003D62D3" w:rsidP="00A57A61">
            <w:pPr>
              <w:jc w:val="center"/>
              <w:rPr>
                <w:b/>
              </w:rPr>
            </w:pPr>
            <w:r w:rsidRPr="007769C5">
              <w:rPr>
                <w:b/>
              </w:rPr>
              <w:t>THỨ TRƯỞNG</w:t>
            </w:r>
          </w:p>
          <w:p w14:paraId="2EF753AA" w14:textId="77777777" w:rsidR="00B708BB" w:rsidRPr="007769C5" w:rsidRDefault="00B708BB" w:rsidP="00A57A61">
            <w:pPr>
              <w:jc w:val="center"/>
              <w:rPr>
                <w:b/>
              </w:rPr>
            </w:pPr>
          </w:p>
          <w:p w14:paraId="2EF753AB" w14:textId="77777777" w:rsidR="00B708BB" w:rsidRDefault="00B708BB" w:rsidP="00A57A61">
            <w:pPr>
              <w:jc w:val="center"/>
              <w:rPr>
                <w:b/>
              </w:rPr>
            </w:pPr>
          </w:p>
          <w:p w14:paraId="2EF753AC" w14:textId="77777777" w:rsidR="00722577" w:rsidRPr="007769C5" w:rsidRDefault="00722577" w:rsidP="00A57A61">
            <w:pPr>
              <w:jc w:val="center"/>
              <w:rPr>
                <w:b/>
              </w:rPr>
            </w:pPr>
          </w:p>
          <w:p w14:paraId="2EF753AD" w14:textId="77777777" w:rsidR="00B708BB" w:rsidRPr="007769C5" w:rsidRDefault="00B708BB" w:rsidP="00A57A61">
            <w:pPr>
              <w:jc w:val="center"/>
              <w:rPr>
                <w:b/>
              </w:rPr>
            </w:pPr>
          </w:p>
          <w:p w14:paraId="2EF753AE" w14:textId="1CE3F9BB" w:rsidR="00B708BB" w:rsidRPr="0045210C" w:rsidRDefault="00E67EB3" w:rsidP="00A57A61">
            <w:pPr>
              <w:jc w:val="center"/>
              <w:rPr>
                <w:b/>
                <w:lang w:val="en-US"/>
              </w:rPr>
            </w:pPr>
            <w:r>
              <w:rPr>
                <w:b/>
                <w:lang w:val="en-US"/>
              </w:rPr>
              <w:t xml:space="preserve">Thượng tướng </w:t>
            </w:r>
            <w:r w:rsidR="0045210C">
              <w:rPr>
                <w:b/>
                <w:lang w:val="en-US"/>
              </w:rPr>
              <w:t xml:space="preserve">Phạm </w:t>
            </w:r>
            <w:r>
              <w:rPr>
                <w:b/>
                <w:lang w:val="en-US"/>
              </w:rPr>
              <w:t>Thế Tùng</w:t>
            </w:r>
          </w:p>
        </w:tc>
      </w:tr>
    </w:tbl>
    <w:p w14:paraId="2EF753B1" w14:textId="77777777" w:rsidR="00DA4D6C" w:rsidRPr="003D62D3" w:rsidRDefault="00DA4D6C" w:rsidP="007642E5">
      <w:pPr>
        <w:spacing w:before="120" w:after="120" w:line="360" w:lineRule="exact"/>
        <w:jc w:val="both"/>
        <w:rPr>
          <w:b/>
        </w:rPr>
      </w:pPr>
    </w:p>
    <w:sectPr w:rsidR="00DA4D6C" w:rsidRPr="003D62D3" w:rsidSect="00E57DBE">
      <w:headerReference w:type="default" r:id="rId8"/>
      <w:footerReference w:type="even" r:id="rId9"/>
      <w:pgSz w:w="11907" w:h="16840" w:code="9"/>
      <w:pgMar w:top="1134" w:right="1134" w:bottom="1134" w:left="1701"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4A7B" w14:textId="77777777" w:rsidR="000530BB" w:rsidRPr="007769C5" w:rsidRDefault="000530BB">
      <w:r w:rsidRPr="007769C5">
        <w:separator/>
      </w:r>
    </w:p>
  </w:endnote>
  <w:endnote w:type="continuationSeparator" w:id="0">
    <w:p w14:paraId="51DEA8C1" w14:textId="77777777" w:rsidR="000530BB" w:rsidRPr="007769C5" w:rsidRDefault="000530BB">
      <w:r w:rsidRPr="007769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53C0" w14:textId="77777777" w:rsidR="008F6456" w:rsidRPr="007769C5" w:rsidRDefault="008F6456" w:rsidP="0049478F">
    <w:pPr>
      <w:pStyle w:val="Footer"/>
      <w:framePr w:wrap="around" w:vAnchor="text" w:hAnchor="margin" w:xAlign="right" w:y="1"/>
      <w:rPr>
        <w:rStyle w:val="PageNumber"/>
      </w:rPr>
    </w:pPr>
    <w:r w:rsidRPr="007769C5">
      <w:rPr>
        <w:rStyle w:val="PageNumber"/>
      </w:rPr>
      <w:fldChar w:fldCharType="begin"/>
    </w:r>
    <w:r w:rsidRPr="007769C5">
      <w:rPr>
        <w:rStyle w:val="PageNumber"/>
      </w:rPr>
      <w:instrText xml:space="preserve">PAGE  </w:instrText>
    </w:r>
    <w:r w:rsidRPr="007769C5">
      <w:rPr>
        <w:rStyle w:val="PageNumber"/>
      </w:rPr>
      <w:fldChar w:fldCharType="end"/>
    </w:r>
  </w:p>
  <w:p w14:paraId="2EF753C1" w14:textId="77777777" w:rsidR="008F6456" w:rsidRPr="007769C5" w:rsidRDefault="008F6456" w:rsidP="004947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AF225" w14:textId="77777777" w:rsidR="000530BB" w:rsidRPr="007769C5" w:rsidRDefault="000530BB">
      <w:r w:rsidRPr="007769C5">
        <w:separator/>
      </w:r>
    </w:p>
  </w:footnote>
  <w:footnote w:type="continuationSeparator" w:id="0">
    <w:p w14:paraId="637EF8D7" w14:textId="77777777" w:rsidR="000530BB" w:rsidRPr="007769C5" w:rsidRDefault="000530BB">
      <w:r w:rsidRPr="007769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753BF" w14:textId="7D86F509" w:rsidR="008F6456" w:rsidRPr="007769C5" w:rsidRDefault="008F6456" w:rsidP="008F6456">
    <w:pPr>
      <w:pStyle w:val="Header"/>
      <w:jc w:val="center"/>
    </w:pPr>
    <w:r w:rsidRPr="007769C5">
      <w:rPr>
        <w:sz w:val="26"/>
        <w:szCs w:val="26"/>
      </w:rPr>
      <w:fldChar w:fldCharType="begin"/>
    </w:r>
    <w:r w:rsidRPr="007769C5">
      <w:rPr>
        <w:sz w:val="26"/>
        <w:szCs w:val="26"/>
      </w:rPr>
      <w:instrText xml:space="preserve"> PAGE   \* MERGEFORMAT </w:instrText>
    </w:r>
    <w:r w:rsidRPr="007769C5">
      <w:rPr>
        <w:sz w:val="26"/>
        <w:szCs w:val="26"/>
      </w:rPr>
      <w:fldChar w:fldCharType="separate"/>
    </w:r>
    <w:r w:rsidR="00441B90">
      <w:rPr>
        <w:sz w:val="26"/>
        <w:szCs w:val="26"/>
      </w:rPr>
      <w:t>17</w:t>
    </w:r>
    <w:r w:rsidRPr="007769C5">
      <w:rPr>
        <w:sz w:val="26"/>
        <w:szCs w:val="2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60CDA"/>
    <w:multiLevelType w:val="hybridMultilevel"/>
    <w:tmpl w:val="DAC0A2E6"/>
    <w:lvl w:ilvl="0" w:tplc="FA2ABF48">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B845123"/>
    <w:multiLevelType w:val="hybridMultilevel"/>
    <w:tmpl w:val="973C7C8E"/>
    <w:lvl w:ilvl="0" w:tplc="B7E20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63220151">
    <w:abstractNumId w:val="0"/>
  </w:num>
  <w:num w:numId="2" w16cid:durableId="785196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478F"/>
    <w:rsid w:val="00000CD9"/>
    <w:rsid w:val="00001B06"/>
    <w:rsid w:val="000037B6"/>
    <w:rsid w:val="00003F6A"/>
    <w:rsid w:val="00004031"/>
    <w:rsid w:val="00004750"/>
    <w:rsid w:val="00004898"/>
    <w:rsid w:val="0000514B"/>
    <w:rsid w:val="00005455"/>
    <w:rsid w:val="00007BAF"/>
    <w:rsid w:val="00013168"/>
    <w:rsid w:val="000172AB"/>
    <w:rsid w:val="00021138"/>
    <w:rsid w:val="000238A7"/>
    <w:rsid w:val="000268FC"/>
    <w:rsid w:val="00030A2A"/>
    <w:rsid w:val="00033266"/>
    <w:rsid w:val="000340E2"/>
    <w:rsid w:val="00034116"/>
    <w:rsid w:val="00035FE3"/>
    <w:rsid w:val="00036950"/>
    <w:rsid w:val="00040EBC"/>
    <w:rsid w:val="000420AB"/>
    <w:rsid w:val="00045EC3"/>
    <w:rsid w:val="00046ABC"/>
    <w:rsid w:val="00047875"/>
    <w:rsid w:val="000530BB"/>
    <w:rsid w:val="0005392E"/>
    <w:rsid w:val="00053E0A"/>
    <w:rsid w:val="0005777C"/>
    <w:rsid w:val="000579F7"/>
    <w:rsid w:val="00065006"/>
    <w:rsid w:val="00065307"/>
    <w:rsid w:val="00067765"/>
    <w:rsid w:val="00067D29"/>
    <w:rsid w:val="00071151"/>
    <w:rsid w:val="000724FB"/>
    <w:rsid w:val="00072F14"/>
    <w:rsid w:val="0007366D"/>
    <w:rsid w:val="00077278"/>
    <w:rsid w:val="000828C0"/>
    <w:rsid w:val="00084942"/>
    <w:rsid w:val="00085469"/>
    <w:rsid w:val="00093A69"/>
    <w:rsid w:val="000963BD"/>
    <w:rsid w:val="00096409"/>
    <w:rsid w:val="000976E3"/>
    <w:rsid w:val="00097E02"/>
    <w:rsid w:val="000A0406"/>
    <w:rsid w:val="000A0CFF"/>
    <w:rsid w:val="000A1509"/>
    <w:rsid w:val="000A2DF9"/>
    <w:rsid w:val="000A4306"/>
    <w:rsid w:val="000A449E"/>
    <w:rsid w:val="000A4E28"/>
    <w:rsid w:val="000A5185"/>
    <w:rsid w:val="000A5593"/>
    <w:rsid w:val="000A5DC0"/>
    <w:rsid w:val="000A7966"/>
    <w:rsid w:val="000B485B"/>
    <w:rsid w:val="000B49C1"/>
    <w:rsid w:val="000C19EF"/>
    <w:rsid w:val="000C7622"/>
    <w:rsid w:val="000D0327"/>
    <w:rsid w:val="000D08AE"/>
    <w:rsid w:val="000D7BB0"/>
    <w:rsid w:val="000D7D89"/>
    <w:rsid w:val="000E26C3"/>
    <w:rsid w:val="000E7287"/>
    <w:rsid w:val="000F0D3C"/>
    <w:rsid w:val="000F460F"/>
    <w:rsid w:val="000F689D"/>
    <w:rsid w:val="000F6F6B"/>
    <w:rsid w:val="000F7599"/>
    <w:rsid w:val="00102FC1"/>
    <w:rsid w:val="0011177A"/>
    <w:rsid w:val="00111E2C"/>
    <w:rsid w:val="001151A2"/>
    <w:rsid w:val="001204BD"/>
    <w:rsid w:val="00120552"/>
    <w:rsid w:val="00120A22"/>
    <w:rsid w:val="0012428C"/>
    <w:rsid w:val="0012428D"/>
    <w:rsid w:val="00126E0C"/>
    <w:rsid w:val="00127B1D"/>
    <w:rsid w:val="001327A8"/>
    <w:rsid w:val="00134333"/>
    <w:rsid w:val="001476F4"/>
    <w:rsid w:val="001500EB"/>
    <w:rsid w:val="001541CA"/>
    <w:rsid w:val="00155F48"/>
    <w:rsid w:val="00160310"/>
    <w:rsid w:val="00161C82"/>
    <w:rsid w:val="001631AE"/>
    <w:rsid w:val="0016612C"/>
    <w:rsid w:val="00173C45"/>
    <w:rsid w:val="00177570"/>
    <w:rsid w:val="00181712"/>
    <w:rsid w:val="00182B38"/>
    <w:rsid w:val="00183559"/>
    <w:rsid w:val="00184FBC"/>
    <w:rsid w:val="001858C9"/>
    <w:rsid w:val="0018667A"/>
    <w:rsid w:val="00186CD8"/>
    <w:rsid w:val="001918D6"/>
    <w:rsid w:val="00192483"/>
    <w:rsid w:val="001931AF"/>
    <w:rsid w:val="00194CA5"/>
    <w:rsid w:val="00196758"/>
    <w:rsid w:val="001A06BA"/>
    <w:rsid w:val="001A130F"/>
    <w:rsid w:val="001A47F6"/>
    <w:rsid w:val="001A5088"/>
    <w:rsid w:val="001A6FC1"/>
    <w:rsid w:val="001A7976"/>
    <w:rsid w:val="001B2562"/>
    <w:rsid w:val="001B29FD"/>
    <w:rsid w:val="001B4470"/>
    <w:rsid w:val="001C2887"/>
    <w:rsid w:val="001C51E7"/>
    <w:rsid w:val="001D50A3"/>
    <w:rsid w:val="001D6623"/>
    <w:rsid w:val="001E00E4"/>
    <w:rsid w:val="001E52CF"/>
    <w:rsid w:val="001E6A8B"/>
    <w:rsid w:val="001E730F"/>
    <w:rsid w:val="001E7A2A"/>
    <w:rsid w:val="001F09E6"/>
    <w:rsid w:val="001F33D9"/>
    <w:rsid w:val="001F4DC4"/>
    <w:rsid w:val="001F7E01"/>
    <w:rsid w:val="00200033"/>
    <w:rsid w:val="00201025"/>
    <w:rsid w:val="00203AFE"/>
    <w:rsid w:val="00206128"/>
    <w:rsid w:val="00210F20"/>
    <w:rsid w:val="002161E3"/>
    <w:rsid w:val="0021621B"/>
    <w:rsid w:val="002223D8"/>
    <w:rsid w:val="00222562"/>
    <w:rsid w:val="00223A96"/>
    <w:rsid w:val="00225708"/>
    <w:rsid w:val="002302BD"/>
    <w:rsid w:val="00231D6B"/>
    <w:rsid w:val="00232FA4"/>
    <w:rsid w:val="00235D87"/>
    <w:rsid w:val="00237B2D"/>
    <w:rsid w:val="002408BC"/>
    <w:rsid w:val="00240A67"/>
    <w:rsid w:val="00241BDB"/>
    <w:rsid w:val="002423A2"/>
    <w:rsid w:val="00242ED7"/>
    <w:rsid w:val="00243157"/>
    <w:rsid w:val="00243C8D"/>
    <w:rsid w:val="00243CA5"/>
    <w:rsid w:val="00244D5A"/>
    <w:rsid w:val="002463DB"/>
    <w:rsid w:val="00246703"/>
    <w:rsid w:val="00246DC2"/>
    <w:rsid w:val="00247936"/>
    <w:rsid w:val="00247F24"/>
    <w:rsid w:val="002507D9"/>
    <w:rsid w:val="00252FB1"/>
    <w:rsid w:val="002551AB"/>
    <w:rsid w:val="002605F0"/>
    <w:rsid w:val="002661ED"/>
    <w:rsid w:val="00266B49"/>
    <w:rsid w:val="00270544"/>
    <w:rsid w:val="0027076E"/>
    <w:rsid w:val="00275534"/>
    <w:rsid w:val="002774EE"/>
    <w:rsid w:val="002802D6"/>
    <w:rsid w:val="00280B4E"/>
    <w:rsid w:val="00280C95"/>
    <w:rsid w:val="0028205A"/>
    <w:rsid w:val="00283A4D"/>
    <w:rsid w:val="00284394"/>
    <w:rsid w:val="00284919"/>
    <w:rsid w:val="00284B92"/>
    <w:rsid w:val="00292275"/>
    <w:rsid w:val="00294CE8"/>
    <w:rsid w:val="002A2A24"/>
    <w:rsid w:val="002A3792"/>
    <w:rsid w:val="002A6B24"/>
    <w:rsid w:val="002A7BA3"/>
    <w:rsid w:val="002B0D44"/>
    <w:rsid w:val="002B2169"/>
    <w:rsid w:val="002B3BB8"/>
    <w:rsid w:val="002B5647"/>
    <w:rsid w:val="002B5DAD"/>
    <w:rsid w:val="002B693A"/>
    <w:rsid w:val="002C0318"/>
    <w:rsid w:val="002C0561"/>
    <w:rsid w:val="002C46DA"/>
    <w:rsid w:val="002D0A3B"/>
    <w:rsid w:val="002D169F"/>
    <w:rsid w:val="002D1C01"/>
    <w:rsid w:val="002D4A9A"/>
    <w:rsid w:val="002D5BCE"/>
    <w:rsid w:val="002D69CB"/>
    <w:rsid w:val="002D7EBD"/>
    <w:rsid w:val="002E1B01"/>
    <w:rsid w:val="002E3AEA"/>
    <w:rsid w:val="002E55E3"/>
    <w:rsid w:val="002E5A17"/>
    <w:rsid w:val="002E6145"/>
    <w:rsid w:val="002F0F30"/>
    <w:rsid w:val="002F5384"/>
    <w:rsid w:val="002F5B6E"/>
    <w:rsid w:val="002F64FF"/>
    <w:rsid w:val="00301363"/>
    <w:rsid w:val="00301664"/>
    <w:rsid w:val="00302748"/>
    <w:rsid w:val="00302B4F"/>
    <w:rsid w:val="00303618"/>
    <w:rsid w:val="00305C70"/>
    <w:rsid w:val="00306511"/>
    <w:rsid w:val="00307FFB"/>
    <w:rsid w:val="00311E6D"/>
    <w:rsid w:val="003147BC"/>
    <w:rsid w:val="00314CCB"/>
    <w:rsid w:val="0031695B"/>
    <w:rsid w:val="003274BE"/>
    <w:rsid w:val="00327EA0"/>
    <w:rsid w:val="00331BA6"/>
    <w:rsid w:val="00332868"/>
    <w:rsid w:val="003336A5"/>
    <w:rsid w:val="00336FE7"/>
    <w:rsid w:val="003409E3"/>
    <w:rsid w:val="00342A68"/>
    <w:rsid w:val="00344DAE"/>
    <w:rsid w:val="00353957"/>
    <w:rsid w:val="00353C78"/>
    <w:rsid w:val="00354522"/>
    <w:rsid w:val="003547BE"/>
    <w:rsid w:val="00354C7F"/>
    <w:rsid w:val="00354FB8"/>
    <w:rsid w:val="00361C49"/>
    <w:rsid w:val="00362D35"/>
    <w:rsid w:val="00363066"/>
    <w:rsid w:val="00364028"/>
    <w:rsid w:val="00364CF9"/>
    <w:rsid w:val="003655C3"/>
    <w:rsid w:val="00370139"/>
    <w:rsid w:val="0037328C"/>
    <w:rsid w:val="00373AF9"/>
    <w:rsid w:val="00375BB0"/>
    <w:rsid w:val="00375DAC"/>
    <w:rsid w:val="00380D47"/>
    <w:rsid w:val="00383E7C"/>
    <w:rsid w:val="00383FD4"/>
    <w:rsid w:val="00385573"/>
    <w:rsid w:val="00386190"/>
    <w:rsid w:val="00387242"/>
    <w:rsid w:val="003900FB"/>
    <w:rsid w:val="003907E6"/>
    <w:rsid w:val="00392622"/>
    <w:rsid w:val="003946C1"/>
    <w:rsid w:val="003951E0"/>
    <w:rsid w:val="003A0D45"/>
    <w:rsid w:val="003A576C"/>
    <w:rsid w:val="003A78D3"/>
    <w:rsid w:val="003B1561"/>
    <w:rsid w:val="003B1D15"/>
    <w:rsid w:val="003B38B7"/>
    <w:rsid w:val="003B4E17"/>
    <w:rsid w:val="003B5FEA"/>
    <w:rsid w:val="003B6742"/>
    <w:rsid w:val="003B72FF"/>
    <w:rsid w:val="003C08BD"/>
    <w:rsid w:val="003C28FA"/>
    <w:rsid w:val="003C362D"/>
    <w:rsid w:val="003C3E59"/>
    <w:rsid w:val="003C41D4"/>
    <w:rsid w:val="003C498A"/>
    <w:rsid w:val="003C5053"/>
    <w:rsid w:val="003D1E2A"/>
    <w:rsid w:val="003D44E9"/>
    <w:rsid w:val="003D5C4E"/>
    <w:rsid w:val="003D62D3"/>
    <w:rsid w:val="003D7269"/>
    <w:rsid w:val="003D74FE"/>
    <w:rsid w:val="003D76A8"/>
    <w:rsid w:val="003E1644"/>
    <w:rsid w:val="003E4792"/>
    <w:rsid w:val="003E560F"/>
    <w:rsid w:val="003E56B3"/>
    <w:rsid w:val="003E68A9"/>
    <w:rsid w:val="003F2A61"/>
    <w:rsid w:val="003F3DD5"/>
    <w:rsid w:val="003F5F92"/>
    <w:rsid w:val="0040136D"/>
    <w:rsid w:val="00401BC8"/>
    <w:rsid w:val="00402FD6"/>
    <w:rsid w:val="00403148"/>
    <w:rsid w:val="0040381A"/>
    <w:rsid w:val="00403CDD"/>
    <w:rsid w:val="004053F5"/>
    <w:rsid w:val="00405A8A"/>
    <w:rsid w:val="004100D2"/>
    <w:rsid w:val="004134F5"/>
    <w:rsid w:val="00415843"/>
    <w:rsid w:val="00417D1A"/>
    <w:rsid w:val="00424393"/>
    <w:rsid w:val="00424500"/>
    <w:rsid w:val="00426CA1"/>
    <w:rsid w:val="00427333"/>
    <w:rsid w:val="00432E62"/>
    <w:rsid w:val="004335FA"/>
    <w:rsid w:val="004336BB"/>
    <w:rsid w:val="00437AF6"/>
    <w:rsid w:val="004409DF"/>
    <w:rsid w:val="00441B90"/>
    <w:rsid w:val="004434AD"/>
    <w:rsid w:val="00445210"/>
    <w:rsid w:val="004455F8"/>
    <w:rsid w:val="00445F7C"/>
    <w:rsid w:val="00446781"/>
    <w:rsid w:val="0045210C"/>
    <w:rsid w:val="00457E01"/>
    <w:rsid w:val="00461163"/>
    <w:rsid w:val="00462359"/>
    <w:rsid w:val="0046287F"/>
    <w:rsid w:val="00462FD3"/>
    <w:rsid w:val="00466810"/>
    <w:rsid w:val="00472475"/>
    <w:rsid w:val="004735A2"/>
    <w:rsid w:val="00473D95"/>
    <w:rsid w:val="00474F9D"/>
    <w:rsid w:val="00475912"/>
    <w:rsid w:val="004807A5"/>
    <w:rsid w:val="00481489"/>
    <w:rsid w:val="00483C4C"/>
    <w:rsid w:val="00485BBB"/>
    <w:rsid w:val="00493691"/>
    <w:rsid w:val="0049478F"/>
    <w:rsid w:val="00496E44"/>
    <w:rsid w:val="004A0010"/>
    <w:rsid w:val="004A218F"/>
    <w:rsid w:val="004A2702"/>
    <w:rsid w:val="004A3B38"/>
    <w:rsid w:val="004A5119"/>
    <w:rsid w:val="004B14A9"/>
    <w:rsid w:val="004B293B"/>
    <w:rsid w:val="004B331C"/>
    <w:rsid w:val="004B3D55"/>
    <w:rsid w:val="004B4192"/>
    <w:rsid w:val="004B5AB9"/>
    <w:rsid w:val="004B5E75"/>
    <w:rsid w:val="004B6032"/>
    <w:rsid w:val="004C0599"/>
    <w:rsid w:val="004C1014"/>
    <w:rsid w:val="004C1DAB"/>
    <w:rsid w:val="004C681C"/>
    <w:rsid w:val="004C6A4E"/>
    <w:rsid w:val="004C6EFF"/>
    <w:rsid w:val="004D0863"/>
    <w:rsid w:val="004D1D77"/>
    <w:rsid w:val="004D3168"/>
    <w:rsid w:val="004D4757"/>
    <w:rsid w:val="004D4A2B"/>
    <w:rsid w:val="004D7FE3"/>
    <w:rsid w:val="004E0419"/>
    <w:rsid w:val="004E0B44"/>
    <w:rsid w:val="004E0F05"/>
    <w:rsid w:val="004E3566"/>
    <w:rsid w:val="004E4D0A"/>
    <w:rsid w:val="004E7F41"/>
    <w:rsid w:val="004F06BE"/>
    <w:rsid w:val="004F2FF9"/>
    <w:rsid w:val="004F7EA7"/>
    <w:rsid w:val="005024A0"/>
    <w:rsid w:val="00502632"/>
    <w:rsid w:val="00503ABA"/>
    <w:rsid w:val="00506245"/>
    <w:rsid w:val="005065B9"/>
    <w:rsid w:val="0050770F"/>
    <w:rsid w:val="00515122"/>
    <w:rsid w:val="00515EBC"/>
    <w:rsid w:val="005174E6"/>
    <w:rsid w:val="005179BB"/>
    <w:rsid w:val="00517F0B"/>
    <w:rsid w:val="00520599"/>
    <w:rsid w:val="00521A3F"/>
    <w:rsid w:val="00522054"/>
    <w:rsid w:val="00522F4A"/>
    <w:rsid w:val="005243EC"/>
    <w:rsid w:val="00524F3F"/>
    <w:rsid w:val="00526BE6"/>
    <w:rsid w:val="00527137"/>
    <w:rsid w:val="005331A1"/>
    <w:rsid w:val="005358F3"/>
    <w:rsid w:val="00536395"/>
    <w:rsid w:val="00536FDB"/>
    <w:rsid w:val="005410C4"/>
    <w:rsid w:val="0054290F"/>
    <w:rsid w:val="00545601"/>
    <w:rsid w:val="005466E5"/>
    <w:rsid w:val="00546C53"/>
    <w:rsid w:val="00551813"/>
    <w:rsid w:val="005521CF"/>
    <w:rsid w:val="00552C62"/>
    <w:rsid w:val="00556236"/>
    <w:rsid w:val="00556E78"/>
    <w:rsid w:val="005570C0"/>
    <w:rsid w:val="00557BF9"/>
    <w:rsid w:val="005605EF"/>
    <w:rsid w:val="00565D5E"/>
    <w:rsid w:val="00566035"/>
    <w:rsid w:val="0056672F"/>
    <w:rsid w:val="00571CBF"/>
    <w:rsid w:val="00572AD6"/>
    <w:rsid w:val="00577064"/>
    <w:rsid w:val="00577165"/>
    <w:rsid w:val="00581BFF"/>
    <w:rsid w:val="00581DC0"/>
    <w:rsid w:val="00582762"/>
    <w:rsid w:val="00585308"/>
    <w:rsid w:val="00592A87"/>
    <w:rsid w:val="00593A8B"/>
    <w:rsid w:val="0059693C"/>
    <w:rsid w:val="00596F73"/>
    <w:rsid w:val="00597245"/>
    <w:rsid w:val="005A3641"/>
    <w:rsid w:val="005A4770"/>
    <w:rsid w:val="005A60C5"/>
    <w:rsid w:val="005A7659"/>
    <w:rsid w:val="005B00A2"/>
    <w:rsid w:val="005B1306"/>
    <w:rsid w:val="005B3805"/>
    <w:rsid w:val="005B5D3E"/>
    <w:rsid w:val="005B6289"/>
    <w:rsid w:val="005C112A"/>
    <w:rsid w:val="005C1AE7"/>
    <w:rsid w:val="005C38FB"/>
    <w:rsid w:val="005C6A40"/>
    <w:rsid w:val="005D32B2"/>
    <w:rsid w:val="005D3D02"/>
    <w:rsid w:val="005D51C3"/>
    <w:rsid w:val="005D51F2"/>
    <w:rsid w:val="005D5BCD"/>
    <w:rsid w:val="005D678B"/>
    <w:rsid w:val="005E0DF0"/>
    <w:rsid w:val="005E124B"/>
    <w:rsid w:val="005E1C18"/>
    <w:rsid w:val="005E5A7B"/>
    <w:rsid w:val="005E6FCB"/>
    <w:rsid w:val="005E7753"/>
    <w:rsid w:val="005E7755"/>
    <w:rsid w:val="005F3160"/>
    <w:rsid w:val="005F3184"/>
    <w:rsid w:val="005F37F4"/>
    <w:rsid w:val="005F6BAD"/>
    <w:rsid w:val="006023BB"/>
    <w:rsid w:val="006100E2"/>
    <w:rsid w:val="00610981"/>
    <w:rsid w:val="0061126E"/>
    <w:rsid w:val="006112D4"/>
    <w:rsid w:val="00613606"/>
    <w:rsid w:val="006143D6"/>
    <w:rsid w:val="00616E3C"/>
    <w:rsid w:val="006177D3"/>
    <w:rsid w:val="00622358"/>
    <w:rsid w:val="00623FCA"/>
    <w:rsid w:val="00624AF3"/>
    <w:rsid w:val="00625907"/>
    <w:rsid w:val="006302B0"/>
    <w:rsid w:val="00632701"/>
    <w:rsid w:val="006345A0"/>
    <w:rsid w:val="0063474A"/>
    <w:rsid w:val="006377EF"/>
    <w:rsid w:val="00637D60"/>
    <w:rsid w:val="006407C3"/>
    <w:rsid w:val="00642147"/>
    <w:rsid w:val="00642405"/>
    <w:rsid w:val="00652E73"/>
    <w:rsid w:val="00652E93"/>
    <w:rsid w:val="0065487D"/>
    <w:rsid w:val="006555F3"/>
    <w:rsid w:val="00655778"/>
    <w:rsid w:val="00657977"/>
    <w:rsid w:val="00661D2C"/>
    <w:rsid w:val="006637A7"/>
    <w:rsid w:val="00667502"/>
    <w:rsid w:val="00671456"/>
    <w:rsid w:val="00672A65"/>
    <w:rsid w:val="00672B6D"/>
    <w:rsid w:val="006756ED"/>
    <w:rsid w:val="00682040"/>
    <w:rsid w:val="00682A44"/>
    <w:rsid w:val="0068450F"/>
    <w:rsid w:val="00685133"/>
    <w:rsid w:val="0069141C"/>
    <w:rsid w:val="0069210E"/>
    <w:rsid w:val="00693F44"/>
    <w:rsid w:val="00695124"/>
    <w:rsid w:val="00696721"/>
    <w:rsid w:val="006A1804"/>
    <w:rsid w:val="006A3293"/>
    <w:rsid w:val="006A3B4C"/>
    <w:rsid w:val="006A6CFE"/>
    <w:rsid w:val="006B0A22"/>
    <w:rsid w:val="006B0E3F"/>
    <w:rsid w:val="006B2B53"/>
    <w:rsid w:val="006B35D4"/>
    <w:rsid w:val="006B3AF8"/>
    <w:rsid w:val="006B4A22"/>
    <w:rsid w:val="006B4F4B"/>
    <w:rsid w:val="006B5E23"/>
    <w:rsid w:val="006C01DD"/>
    <w:rsid w:val="006C04C9"/>
    <w:rsid w:val="006C0B5A"/>
    <w:rsid w:val="006C2DFA"/>
    <w:rsid w:val="006C2E12"/>
    <w:rsid w:val="006C5A59"/>
    <w:rsid w:val="006D2611"/>
    <w:rsid w:val="006D33E5"/>
    <w:rsid w:val="006D5129"/>
    <w:rsid w:val="006E0DE3"/>
    <w:rsid w:val="006E1A1B"/>
    <w:rsid w:val="006E5379"/>
    <w:rsid w:val="006E5436"/>
    <w:rsid w:val="006E6B68"/>
    <w:rsid w:val="006E735C"/>
    <w:rsid w:val="006F4335"/>
    <w:rsid w:val="006F4AB2"/>
    <w:rsid w:val="006F57D9"/>
    <w:rsid w:val="006F646C"/>
    <w:rsid w:val="006F66DF"/>
    <w:rsid w:val="006F6BF5"/>
    <w:rsid w:val="00700068"/>
    <w:rsid w:val="00700908"/>
    <w:rsid w:val="00703276"/>
    <w:rsid w:val="0070376D"/>
    <w:rsid w:val="00703F96"/>
    <w:rsid w:val="00710F99"/>
    <w:rsid w:val="0071265D"/>
    <w:rsid w:val="00712945"/>
    <w:rsid w:val="0071394F"/>
    <w:rsid w:val="0071505A"/>
    <w:rsid w:val="00715393"/>
    <w:rsid w:val="00715D06"/>
    <w:rsid w:val="007209FA"/>
    <w:rsid w:val="00720C3D"/>
    <w:rsid w:val="00720E1E"/>
    <w:rsid w:val="00722577"/>
    <w:rsid w:val="0072308D"/>
    <w:rsid w:val="00723CE4"/>
    <w:rsid w:val="00723E8A"/>
    <w:rsid w:val="007241C4"/>
    <w:rsid w:val="00727FF6"/>
    <w:rsid w:val="00732455"/>
    <w:rsid w:val="00734941"/>
    <w:rsid w:val="007470BE"/>
    <w:rsid w:val="00747E79"/>
    <w:rsid w:val="007501A9"/>
    <w:rsid w:val="007529B3"/>
    <w:rsid w:val="00752D28"/>
    <w:rsid w:val="00754012"/>
    <w:rsid w:val="00755A56"/>
    <w:rsid w:val="00756EE5"/>
    <w:rsid w:val="0075783F"/>
    <w:rsid w:val="00760B61"/>
    <w:rsid w:val="00761740"/>
    <w:rsid w:val="007619BC"/>
    <w:rsid w:val="0076207C"/>
    <w:rsid w:val="0076270C"/>
    <w:rsid w:val="007642E5"/>
    <w:rsid w:val="00765A65"/>
    <w:rsid w:val="00765ACC"/>
    <w:rsid w:val="00767E85"/>
    <w:rsid w:val="0077177A"/>
    <w:rsid w:val="00772BE2"/>
    <w:rsid w:val="00773EF0"/>
    <w:rsid w:val="007769C5"/>
    <w:rsid w:val="00777E40"/>
    <w:rsid w:val="00781A67"/>
    <w:rsid w:val="00784306"/>
    <w:rsid w:val="00784DC1"/>
    <w:rsid w:val="00784EB4"/>
    <w:rsid w:val="0078747E"/>
    <w:rsid w:val="00793759"/>
    <w:rsid w:val="00794F15"/>
    <w:rsid w:val="00795033"/>
    <w:rsid w:val="0079694C"/>
    <w:rsid w:val="00796B14"/>
    <w:rsid w:val="00797B6D"/>
    <w:rsid w:val="007A268A"/>
    <w:rsid w:val="007A7FA4"/>
    <w:rsid w:val="007B00CE"/>
    <w:rsid w:val="007B19C2"/>
    <w:rsid w:val="007B517F"/>
    <w:rsid w:val="007B67AD"/>
    <w:rsid w:val="007B767A"/>
    <w:rsid w:val="007B7ECC"/>
    <w:rsid w:val="007C0F51"/>
    <w:rsid w:val="007C4CB5"/>
    <w:rsid w:val="007D143E"/>
    <w:rsid w:val="007D1868"/>
    <w:rsid w:val="007D22B0"/>
    <w:rsid w:val="007D7489"/>
    <w:rsid w:val="007E0521"/>
    <w:rsid w:val="007E257C"/>
    <w:rsid w:val="007E3B0B"/>
    <w:rsid w:val="007E507D"/>
    <w:rsid w:val="007E7812"/>
    <w:rsid w:val="007F5BD6"/>
    <w:rsid w:val="007F7B62"/>
    <w:rsid w:val="007F7E6F"/>
    <w:rsid w:val="00800392"/>
    <w:rsid w:val="008019CE"/>
    <w:rsid w:val="008038F4"/>
    <w:rsid w:val="00804598"/>
    <w:rsid w:val="00805B38"/>
    <w:rsid w:val="0081534F"/>
    <w:rsid w:val="00815631"/>
    <w:rsid w:val="0082024D"/>
    <w:rsid w:val="0082052B"/>
    <w:rsid w:val="008305EA"/>
    <w:rsid w:val="008326A0"/>
    <w:rsid w:val="00833027"/>
    <w:rsid w:val="00836174"/>
    <w:rsid w:val="0083671F"/>
    <w:rsid w:val="008433A1"/>
    <w:rsid w:val="008441EB"/>
    <w:rsid w:val="008463B9"/>
    <w:rsid w:val="008535D0"/>
    <w:rsid w:val="00853B4D"/>
    <w:rsid w:val="00857B25"/>
    <w:rsid w:val="008620D5"/>
    <w:rsid w:val="008637ED"/>
    <w:rsid w:val="00864A59"/>
    <w:rsid w:val="00865017"/>
    <w:rsid w:val="0086529B"/>
    <w:rsid w:val="008676AE"/>
    <w:rsid w:val="0087037E"/>
    <w:rsid w:val="008704A2"/>
    <w:rsid w:val="008720DC"/>
    <w:rsid w:val="00872D45"/>
    <w:rsid w:val="00872E42"/>
    <w:rsid w:val="00872E64"/>
    <w:rsid w:val="008763E4"/>
    <w:rsid w:val="008773A2"/>
    <w:rsid w:val="00877D45"/>
    <w:rsid w:val="00880B46"/>
    <w:rsid w:val="00881B32"/>
    <w:rsid w:val="00883CC0"/>
    <w:rsid w:val="008900E0"/>
    <w:rsid w:val="00891156"/>
    <w:rsid w:val="00892095"/>
    <w:rsid w:val="00893269"/>
    <w:rsid w:val="00894384"/>
    <w:rsid w:val="00894423"/>
    <w:rsid w:val="00895EF5"/>
    <w:rsid w:val="0089781C"/>
    <w:rsid w:val="00897B96"/>
    <w:rsid w:val="008A16B3"/>
    <w:rsid w:val="008A16B8"/>
    <w:rsid w:val="008A1D90"/>
    <w:rsid w:val="008A2101"/>
    <w:rsid w:val="008A59F6"/>
    <w:rsid w:val="008A5A19"/>
    <w:rsid w:val="008A5B54"/>
    <w:rsid w:val="008A6095"/>
    <w:rsid w:val="008B2A10"/>
    <w:rsid w:val="008C0F1A"/>
    <w:rsid w:val="008D3192"/>
    <w:rsid w:val="008D3221"/>
    <w:rsid w:val="008E1B3A"/>
    <w:rsid w:val="008E4C19"/>
    <w:rsid w:val="008F09FD"/>
    <w:rsid w:val="008F19CD"/>
    <w:rsid w:val="008F30D6"/>
    <w:rsid w:val="008F3392"/>
    <w:rsid w:val="008F4A0E"/>
    <w:rsid w:val="008F4A36"/>
    <w:rsid w:val="008F6456"/>
    <w:rsid w:val="008F7B28"/>
    <w:rsid w:val="00900165"/>
    <w:rsid w:val="009058C6"/>
    <w:rsid w:val="0090607D"/>
    <w:rsid w:val="0090648A"/>
    <w:rsid w:val="00907AE6"/>
    <w:rsid w:val="00910FA7"/>
    <w:rsid w:val="0091121A"/>
    <w:rsid w:val="00912F1B"/>
    <w:rsid w:val="009137C4"/>
    <w:rsid w:val="00913BC3"/>
    <w:rsid w:val="0091446E"/>
    <w:rsid w:val="009146CD"/>
    <w:rsid w:val="00917C41"/>
    <w:rsid w:val="00917F44"/>
    <w:rsid w:val="00925A3C"/>
    <w:rsid w:val="00931CD9"/>
    <w:rsid w:val="00932DB1"/>
    <w:rsid w:val="0093373A"/>
    <w:rsid w:val="00936453"/>
    <w:rsid w:val="00942CC3"/>
    <w:rsid w:val="00943179"/>
    <w:rsid w:val="00943D76"/>
    <w:rsid w:val="0094617A"/>
    <w:rsid w:val="00947A19"/>
    <w:rsid w:val="00953888"/>
    <w:rsid w:val="00953CEC"/>
    <w:rsid w:val="00956184"/>
    <w:rsid w:val="00957FB0"/>
    <w:rsid w:val="00962746"/>
    <w:rsid w:val="00962CAF"/>
    <w:rsid w:val="009631D8"/>
    <w:rsid w:val="00963F68"/>
    <w:rsid w:val="009645C6"/>
    <w:rsid w:val="0096518C"/>
    <w:rsid w:val="00965AA5"/>
    <w:rsid w:val="00966667"/>
    <w:rsid w:val="00966F99"/>
    <w:rsid w:val="0097131C"/>
    <w:rsid w:val="0097278E"/>
    <w:rsid w:val="009733A7"/>
    <w:rsid w:val="0097578A"/>
    <w:rsid w:val="00975AFE"/>
    <w:rsid w:val="009833F7"/>
    <w:rsid w:val="00986FE6"/>
    <w:rsid w:val="009959A6"/>
    <w:rsid w:val="009960B7"/>
    <w:rsid w:val="00996262"/>
    <w:rsid w:val="009A4C5B"/>
    <w:rsid w:val="009B4F06"/>
    <w:rsid w:val="009B60D5"/>
    <w:rsid w:val="009B74D1"/>
    <w:rsid w:val="009C1533"/>
    <w:rsid w:val="009C2048"/>
    <w:rsid w:val="009C3A41"/>
    <w:rsid w:val="009C4C1B"/>
    <w:rsid w:val="009C6380"/>
    <w:rsid w:val="009D0269"/>
    <w:rsid w:val="009D02CF"/>
    <w:rsid w:val="009D1409"/>
    <w:rsid w:val="009D3CD4"/>
    <w:rsid w:val="009D4E07"/>
    <w:rsid w:val="009D591B"/>
    <w:rsid w:val="009D75B3"/>
    <w:rsid w:val="009E0B25"/>
    <w:rsid w:val="009E3E02"/>
    <w:rsid w:val="009E4434"/>
    <w:rsid w:val="009E6D49"/>
    <w:rsid w:val="009E7C80"/>
    <w:rsid w:val="009F1F3D"/>
    <w:rsid w:val="009F2B06"/>
    <w:rsid w:val="009F5F70"/>
    <w:rsid w:val="009F78AA"/>
    <w:rsid w:val="00A04FD5"/>
    <w:rsid w:val="00A05429"/>
    <w:rsid w:val="00A05DC1"/>
    <w:rsid w:val="00A1001F"/>
    <w:rsid w:val="00A1197B"/>
    <w:rsid w:val="00A11A8C"/>
    <w:rsid w:val="00A157A6"/>
    <w:rsid w:val="00A159A6"/>
    <w:rsid w:val="00A16957"/>
    <w:rsid w:val="00A2225C"/>
    <w:rsid w:val="00A260B6"/>
    <w:rsid w:val="00A30457"/>
    <w:rsid w:val="00A3277D"/>
    <w:rsid w:val="00A35193"/>
    <w:rsid w:val="00A35498"/>
    <w:rsid w:val="00A36283"/>
    <w:rsid w:val="00A363F8"/>
    <w:rsid w:val="00A36B97"/>
    <w:rsid w:val="00A3701D"/>
    <w:rsid w:val="00A43115"/>
    <w:rsid w:val="00A45386"/>
    <w:rsid w:val="00A50B1F"/>
    <w:rsid w:val="00A53F99"/>
    <w:rsid w:val="00A54CDC"/>
    <w:rsid w:val="00A55D88"/>
    <w:rsid w:val="00A5749A"/>
    <w:rsid w:val="00A574F3"/>
    <w:rsid w:val="00A57A61"/>
    <w:rsid w:val="00A60884"/>
    <w:rsid w:val="00A611ED"/>
    <w:rsid w:val="00A61B0E"/>
    <w:rsid w:val="00A63333"/>
    <w:rsid w:val="00A64062"/>
    <w:rsid w:val="00A65E2A"/>
    <w:rsid w:val="00A7068E"/>
    <w:rsid w:val="00A73ADA"/>
    <w:rsid w:val="00A74877"/>
    <w:rsid w:val="00A77B1C"/>
    <w:rsid w:val="00A8070E"/>
    <w:rsid w:val="00A810D5"/>
    <w:rsid w:val="00A821EB"/>
    <w:rsid w:val="00A8291B"/>
    <w:rsid w:val="00A83824"/>
    <w:rsid w:val="00A90441"/>
    <w:rsid w:val="00A90C61"/>
    <w:rsid w:val="00A9120D"/>
    <w:rsid w:val="00A91E4D"/>
    <w:rsid w:val="00A92DE2"/>
    <w:rsid w:val="00A94482"/>
    <w:rsid w:val="00A95A69"/>
    <w:rsid w:val="00A97531"/>
    <w:rsid w:val="00A97A68"/>
    <w:rsid w:val="00AA5263"/>
    <w:rsid w:val="00AA7423"/>
    <w:rsid w:val="00AB40D6"/>
    <w:rsid w:val="00AB51AA"/>
    <w:rsid w:val="00AB7594"/>
    <w:rsid w:val="00AC1018"/>
    <w:rsid w:val="00AC1CA1"/>
    <w:rsid w:val="00AC28EE"/>
    <w:rsid w:val="00AC42C4"/>
    <w:rsid w:val="00AC4458"/>
    <w:rsid w:val="00AC4E49"/>
    <w:rsid w:val="00AC4ED4"/>
    <w:rsid w:val="00AC5A10"/>
    <w:rsid w:val="00AC73A5"/>
    <w:rsid w:val="00AD0E79"/>
    <w:rsid w:val="00AD2788"/>
    <w:rsid w:val="00AD32DE"/>
    <w:rsid w:val="00AE1BBF"/>
    <w:rsid w:val="00AE1D08"/>
    <w:rsid w:val="00AE316C"/>
    <w:rsid w:val="00AE3710"/>
    <w:rsid w:val="00AF3FDA"/>
    <w:rsid w:val="00AF4282"/>
    <w:rsid w:val="00AF5111"/>
    <w:rsid w:val="00AF63D8"/>
    <w:rsid w:val="00AF7C66"/>
    <w:rsid w:val="00AF7D1A"/>
    <w:rsid w:val="00B022DE"/>
    <w:rsid w:val="00B02F0A"/>
    <w:rsid w:val="00B038F1"/>
    <w:rsid w:val="00B05928"/>
    <w:rsid w:val="00B10B94"/>
    <w:rsid w:val="00B120C2"/>
    <w:rsid w:val="00B122C1"/>
    <w:rsid w:val="00B1421A"/>
    <w:rsid w:val="00B14CC5"/>
    <w:rsid w:val="00B15C43"/>
    <w:rsid w:val="00B2000A"/>
    <w:rsid w:val="00B229CF"/>
    <w:rsid w:val="00B2446B"/>
    <w:rsid w:val="00B25036"/>
    <w:rsid w:val="00B250F1"/>
    <w:rsid w:val="00B25BFF"/>
    <w:rsid w:val="00B307A3"/>
    <w:rsid w:val="00B30B39"/>
    <w:rsid w:val="00B3118E"/>
    <w:rsid w:val="00B3492F"/>
    <w:rsid w:val="00B408A9"/>
    <w:rsid w:val="00B40E88"/>
    <w:rsid w:val="00B4284C"/>
    <w:rsid w:val="00B446D8"/>
    <w:rsid w:val="00B45216"/>
    <w:rsid w:val="00B51845"/>
    <w:rsid w:val="00B52193"/>
    <w:rsid w:val="00B52FE9"/>
    <w:rsid w:val="00B53A14"/>
    <w:rsid w:val="00B54239"/>
    <w:rsid w:val="00B54D68"/>
    <w:rsid w:val="00B55291"/>
    <w:rsid w:val="00B55634"/>
    <w:rsid w:val="00B56848"/>
    <w:rsid w:val="00B64EA0"/>
    <w:rsid w:val="00B65735"/>
    <w:rsid w:val="00B708BB"/>
    <w:rsid w:val="00B7237A"/>
    <w:rsid w:val="00B73627"/>
    <w:rsid w:val="00B7402A"/>
    <w:rsid w:val="00B8367D"/>
    <w:rsid w:val="00B84941"/>
    <w:rsid w:val="00B84AD9"/>
    <w:rsid w:val="00B8595C"/>
    <w:rsid w:val="00B86D6C"/>
    <w:rsid w:val="00B87166"/>
    <w:rsid w:val="00B874EE"/>
    <w:rsid w:val="00B9236D"/>
    <w:rsid w:val="00B92ADA"/>
    <w:rsid w:val="00B95AD7"/>
    <w:rsid w:val="00B97A02"/>
    <w:rsid w:val="00BA1062"/>
    <w:rsid w:val="00BA368C"/>
    <w:rsid w:val="00BA5A5D"/>
    <w:rsid w:val="00BA5A6A"/>
    <w:rsid w:val="00BA7B0B"/>
    <w:rsid w:val="00BB09C4"/>
    <w:rsid w:val="00BB0E19"/>
    <w:rsid w:val="00BB126C"/>
    <w:rsid w:val="00BB6231"/>
    <w:rsid w:val="00BC0C37"/>
    <w:rsid w:val="00BC1758"/>
    <w:rsid w:val="00BC1FDD"/>
    <w:rsid w:val="00BC2974"/>
    <w:rsid w:val="00BC4053"/>
    <w:rsid w:val="00BC5128"/>
    <w:rsid w:val="00BC7E12"/>
    <w:rsid w:val="00BD4027"/>
    <w:rsid w:val="00BD66A9"/>
    <w:rsid w:val="00BD66AD"/>
    <w:rsid w:val="00BE16C6"/>
    <w:rsid w:val="00BF01DD"/>
    <w:rsid w:val="00BF116C"/>
    <w:rsid w:val="00BF1D2E"/>
    <w:rsid w:val="00C02E96"/>
    <w:rsid w:val="00C03B2E"/>
    <w:rsid w:val="00C044E7"/>
    <w:rsid w:val="00C04A53"/>
    <w:rsid w:val="00C0505C"/>
    <w:rsid w:val="00C055D0"/>
    <w:rsid w:val="00C07603"/>
    <w:rsid w:val="00C122CB"/>
    <w:rsid w:val="00C141FA"/>
    <w:rsid w:val="00C14546"/>
    <w:rsid w:val="00C145E1"/>
    <w:rsid w:val="00C14BC4"/>
    <w:rsid w:val="00C1538E"/>
    <w:rsid w:val="00C1733A"/>
    <w:rsid w:val="00C20472"/>
    <w:rsid w:val="00C2063F"/>
    <w:rsid w:val="00C2314C"/>
    <w:rsid w:val="00C2565E"/>
    <w:rsid w:val="00C25E0F"/>
    <w:rsid w:val="00C279BA"/>
    <w:rsid w:val="00C31217"/>
    <w:rsid w:val="00C3274D"/>
    <w:rsid w:val="00C32CEE"/>
    <w:rsid w:val="00C33C63"/>
    <w:rsid w:val="00C35163"/>
    <w:rsid w:val="00C3660F"/>
    <w:rsid w:val="00C42C75"/>
    <w:rsid w:val="00C44F35"/>
    <w:rsid w:val="00C4629D"/>
    <w:rsid w:val="00C50E11"/>
    <w:rsid w:val="00C510C4"/>
    <w:rsid w:val="00C529DF"/>
    <w:rsid w:val="00C5503F"/>
    <w:rsid w:val="00C55246"/>
    <w:rsid w:val="00C55E8B"/>
    <w:rsid w:val="00C57F54"/>
    <w:rsid w:val="00C623D1"/>
    <w:rsid w:val="00C641BC"/>
    <w:rsid w:val="00C70091"/>
    <w:rsid w:val="00C72779"/>
    <w:rsid w:val="00C76245"/>
    <w:rsid w:val="00C763BD"/>
    <w:rsid w:val="00C767EF"/>
    <w:rsid w:val="00C77630"/>
    <w:rsid w:val="00C77DA7"/>
    <w:rsid w:val="00C80740"/>
    <w:rsid w:val="00C80F67"/>
    <w:rsid w:val="00C81619"/>
    <w:rsid w:val="00C83232"/>
    <w:rsid w:val="00C84DC8"/>
    <w:rsid w:val="00C900B8"/>
    <w:rsid w:val="00C9247D"/>
    <w:rsid w:val="00C95792"/>
    <w:rsid w:val="00CA088A"/>
    <w:rsid w:val="00CA2707"/>
    <w:rsid w:val="00CA4771"/>
    <w:rsid w:val="00CA49E2"/>
    <w:rsid w:val="00CA6613"/>
    <w:rsid w:val="00CB0B32"/>
    <w:rsid w:val="00CB1F1D"/>
    <w:rsid w:val="00CB4D2A"/>
    <w:rsid w:val="00CB5217"/>
    <w:rsid w:val="00CB54D2"/>
    <w:rsid w:val="00CB7913"/>
    <w:rsid w:val="00CB7A2E"/>
    <w:rsid w:val="00CC3BB4"/>
    <w:rsid w:val="00CC7C63"/>
    <w:rsid w:val="00CC7D50"/>
    <w:rsid w:val="00CD22BC"/>
    <w:rsid w:val="00CD23A0"/>
    <w:rsid w:val="00CD29DA"/>
    <w:rsid w:val="00CD374A"/>
    <w:rsid w:val="00CD5CF2"/>
    <w:rsid w:val="00CD6050"/>
    <w:rsid w:val="00CD74B1"/>
    <w:rsid w:val="00CD76DC"/>
    <w:rsid w:val="00CD7DAF"/>
    <w:rsid w:val="00CD7E9F"/>
    <w:rsid w:val="00CE10EE"/>
    <w:rsid w:val="00CE3582"/>
    <w:rsid w:val="00CE3702"/>
    <w:rsid w:val="00CE3AF3"/>
    <w:rsid w:val="00CE5C13"/>
    <w:rsid w:val="00CE5F9B"/>
    <w:rsid w:val="00CF2056"/>
    <w:rsid w:val="00CF7A18"/>
    <w:rsid w:val="00D008A1"/>
    <w:rsid w:val="00D00DC5"/>
    <w:rsid w:val="00D018DD"/>
    <w:rsid w:val="00D01919"/>
    <w:rsid w:val="00D04FC8"/>
    <w:rsid w:val="00D06C21"/>
    <w:rsid w:val="00D0725A"/>
    <w:rsid w:val="00D10730"/>
    <w:rsid w:val="00D10795"/>
    <w:rsid w:val="00D1282B"/>
    <w:rsid w:val="00D156DA"/>
    <w:rsid w:val="00D15EAF"/>
    <w:rsid w:val="00D16ED4"/>
    <w:rsid w:val="00D20A97"/>
    <w:rsid w:val="00D211C3"/>
    <w:rsid w:val="00D221B9"/>
    <w:rsid w:val="00D23BD8"/>
    <w:rsid w:val="00D2405C"/>
    <w:rsid w:val="00D2598D"/>
    <w:rsid w:val="00D26FA1"/>
    <w:rsid w:val="00D30691"/>
    <w:rsid w:val="00D36651"/>
    <w:rsid w:val="00D42C43"/>
    <w:rsid w:val="00D44EEB"/>
    <w:rsid w:val="00D4646C"/>
    <w:rsid w:val="00D471E5"/>
    <w:rsid w:val="00D50729"/>
    <w:rsid w:val="00D51F77"/>
    <w:rsid w:val="00D52045"/>
    <w:rsid w:val="00D52DF1"/>
    <w:rsid w:val="00D54D78"/>
    <w:rsid w:val="00D55395"/>
    <w:rsid w:val="00D560E7"/>
    <w:rsid w:val="00D61562"/>
    <w:rsid w:val="00D66261"/>
    <w:rsid w:val="00D66996"/>
    <w:rsid w:val="00D6733B"/>
    <w:rsid w:val="00D730E3"/>
    <w:rsid w:val="00D73F60"/>
    <w:rsid w:val="00D74351"/>
    <w:rsid w:val="00D75236"/>
    <w:rsid w:val="00D76062"/>
    <w:rsid w:val="00D76B16"/>
    <w:rsid w:val="00D800E1"/>
    <w:rsid w:val="00D83700"/>
    <w:rsid w:val="00D838DE"/>
    <w:rsid w:val="00D83D4D"/>
    <w:rsid w:val="00D85F1C"/>
    <w:rsid w:val="00D86FAC"/>
    <w:rsid w:val="00D92B5C"/>
    <w:rsid w:val="00D96941"/>
    <w:rsid w:val="00D97BFB"/>
    <w:rsid w:val="00DA1163"/>
    <w:rsid w:val="00DA1E59"/>
    <w:rsid w:val="00DA2AFF"/>
    <w:rsid w:val="00DA3CBF"/>
    <w:rsid w:val="00DA3F80"/>
    <w:rsid w:val="00DA4D6C"/>
    <w:rsid w:val="00DA6CA7"/>
    <w:rsid w:val="00DB04C8"/>
    <w:rsid w:val="00DB109D"/>
    <w:rsid w:val="00DB1264"/>
    <w:rsid w:val="00DB6498"/>
    <w:rsid w:val="00DB6F60"/>
    <w:rsid w:val="00DB79F2"/>
    <w:rsid w:val="00DC0C9D"/>
    <w:rsid w:val="00DC2A7C"/>
    <w:rsid w:val="00DC3871"/>
    <w:rsid w:val="00DC5215"/>
    <w:rsid w:val="00DC607E"/>
    <w:rsid w:val="00DC7259"/>
    <w:rsid w:val="00DD0B45"/>
    <w:rsid w:val="00DD0DCF"/>
    <w:rsid w:val="00DD1AB2"/>
    <w:rsid w:val="00DD2F03"/>
    <w:rsid w:val="00DD77D1"/>
    <w:rsid w:val="00DE303C"/>
    <w:rsid w:val="00DE3D3E"/>
    <w:rsid w:val="00DE79FF"/>
    <w:rsid w:val="00DF2AC5"/>
    <w:rsid w:val="00DF5BFA"/>
    <w:rsid w:val="00DF6E47"/>
    <w:rsid w:val="00E00A10"/>
    <w:rsid w:val="00E0140A"/>
    <w:rsid w:val="00E04FAC"/>
    <w:rsid w:val="00E10424"/>
    <w:rsid w:val="00E10653"/>
    <w:rsid w:val="00E118A1"/>
    <w:rsid w:val="00E12024"/>
    <w:rsid w:val="00E1501B"/>
    <w:rsid w:val="00E15268"/>
    <w:rsid w:val="00E158FF"/>
    <w:rsid w:val="00E214B0"/>
    <w:rsid w:val="00E21608"/>
    <w:rsid w:val="00E223FC"/>
    <w:rsid w:val="00E227BB"/>
    <w:rsid w:val="00E22CEF"/>
    <w:rsid w:val="00E239A1"/>
    <w:rsid w:val="00E30519"/>
    <w:rsid w:val="00E31EC4"/>
    <w:rsid w:val="00E3379B"/>
    <w:rsid w:val="00E349AB"/>
    <w:rsid w:val="00E36152"/>
    <w:rsid w:val="00E3663E"/>
    <w:rsid w:val="00E415C3"/>
    <w:rsid w:val="00E43088"/>
    <w:rsid w:val="00E43F61"/>
    <w:rsid w:val="00E440DF"/>
    <w:rsid w:val="00E47A9B"/>
    <w:rsid w:val="00E50404"/>
    <w:rsid w:val="00E52518"/>
    <w:rsid w:val="00E54BB3"/>
    <w:rsid w:val="00E57D9C"/>
    <w:rsid w:val="00E57DBE"/>
    <w:rsid w:val="00E62CE3"/>
    <w:rsid w:val="00E6444C"/>
    <w:rsid w:val="00E644F4"/>
    <w:rsid w:val="00E66D84"/>
    <w:rsid w:val="00E67A81"/>
    <w:rsid w:val="00E67EB3"/>
    <w:rsid w:val="00E73035"/>
    <w:rsid w:val="00E76521"/>
    <w:rsid w:val="00E85164"/>
    <w:rsid w:val="00E86B01"/>
    <w:rsid w:val="00E86B07"/>
    <w:rsid w:val="00E90885"/>
    <w:rsid w:val="00E923A1"/>
    <w:rsid w:val="00E92639"/>
    <w:rsid w:val="00E9592F"/>
    <w:rsid w:val="00E96016"/>
    <w:rsid w:val="00E961EE"/>
    <w:rsid w:val="00E9736B"/>
    <w:rsid w:val="00E978BF"/>
    <w:rsid w:val="00E97CCC"/>
    <w:rsid w:val="00E97D71"/>
    <w:rsid w:val="00E97ED5"/>
    <w:rsid w:val="00EA2923"/>
    <w:rsid w:val="00EA2E8E"/>
    <w:rsid w:val="00EA77D7"/>
    <w:rsid w:val="00EB0FCA"/>
    <w:rsid w:val="00EB128F"/>
    <w:rsid w:val="00EB1F7C"/>
    <w:rsid w:val="00EB5B08"/>
    <w:rsid w:val="00EB6B0D"/>
    <w:rsid w:val="00EB6E5B"/>
    <w:rsid w:val="00EC100D"/>
    <w:rsid w:val="00EC41F4"/>
    <w:rsid w:val="00EC660B"/>
    <w:rsid w:val="00EC6C59"/>
    <w:rsid w:val="00ED0C0A"/>
    <w:rsid w:val="00ED125E"/>
    <w:rsid w:val="00ED1289"/>
    <w:rsid w:val="00ED53C9"/>
    <w:rsid w:val="00ED706C"/>
    <w:rsid w:val="00EE162A"/>
    <w:rsid w:val="00EE2468"/>
    <w:rsid w:val="00EE2699"/>
    <w:rsid w:val="00EE2767"/>
    <w:rsid w:val="00EE64AE"/>
    <w:rsid w:val="00EE7727"/>
    <w:rsid w:val="00EF0378"/>
    <w:rsid w:val="00EF3012"/>
    <w:rsid w:val="00EF37A7"/>
    <w:rsid w:val="00EF37DE"/>
    <w:rsid w:val="00EF5424"/>
    <w:rsid w:val="00EF62BF"/>
    <w:rsid w:val="00F004F3"/>
    <w:rsid w:val="00F017DD"/>
    <w:rsid w:val="00F01A7F"/>
    <w:rsid w:val="00F01EC7"/>
    <w:rsid w:val="00F039CC"/>
    <w:rsid w:val="00F04434"/>
    <w:rsid w:val="00F04ED1"/>
    <w:rsid w:val="00F053F4"/>
    <w:rsid w:val="00F05792"/>
    <w:rsid w:val="00F06B9E"/>
    <w:rsid w:val="00F12281"/>
    <w:rsid w:val="00F12ABF"/>
    <w:rsid w:val="00F13183"/>
    <w:rsid w:val="00F14AA7"/>
    <w:rsid w:val="00F15864"/>
    <w:rsid w:val="00F15D63"/>
    <w:rsid w:val="00F17050"/>
    <w:rsid w:val="00F202D2"/>
    <w:rsid w:val="00F202DA"/>
    <w:rsid w:val="00F21694"/>
    <w:rsid w:val="00F22000"/>
    <w:rsid w:val="00F23A95"/>
    <w:rsid w:val="00F30F0C"/>
    <w:rsid w:val="00F31A4E"/>
    <w:rsid w:val="00F3377D"/>
    <w:rsid w:val="00F33D49"/>
    <w:rsid w:val="00F33E07"/>
    <w:rsid w:val="00F36CDD"/>
    <w:rsid w:val="00F40C2E"/>
    <w:rsid w:val="00F42A22"/>
    <w:rsid w:val="00F44292"/>
    <w:rsid w:val="00F46A89"/>
    <w:rsid w:val="00F500E3"/>
    <w:rsid w:val="00F5082B"/>
    <w:rsid w:val="00F50A6A"/>
    <w:rsid w:val="00F52409"/>
    <w:rsid w:val="00F543DF"/>
    <w:rsid w:val="00F64885"/>
    <w:rsid w:val="00F67673"/>
    <w:rsid w:val="00F6783F"/>
    <w:rsid w:val="00F742D5"/>
    <w:rsid w:val="00F74604"/>
    <w:rsid w:val="00F76FFA"/>
    <w:rsid w:val="00F77043"/>
    <w:rsid w:val="00F8009E"/>
    <w:rsid w:val="00F82FBE"/>
    <w:rsid w:val="00F851E1"/>
    <w:rsid w:val="00F8592A"/>
    <w:rsid w:val="00F908A9"/>
    <w:rsid w:val="00F92214"/>
    <w:rsid w:val="00FA0F40"/>
    <w:rsid w:val="00FA36F0"/>
    <w:rsid w:val="00FA48E6"/>
    <w:rsid w:val="00FA60C3"/>
    <w:rsid w:val="00FA7339"/>
    <w:rsid w:val="00FA7AB7"/>
    <w:rsid w:val="00FB6809"/>
    <w:rsid w:val="00FB7513"/>
    <w:rsid w:val="00FC064A"/>
    <w:rsid w:val="00FC0A9A"/>
    <w:rsid w:val="00FC0CBF"/>
    <w:rsid w:val="00FC4764"/>
    <w:rsid w:val="00FC4AFE"/>
    <w:rsid w:val="00FC7F92"/>
    <w:rsid w:val="00FC7FD0"/>
    <w:rsid w:val="00FD2238"/>
    <w:rsid w:val="00FD2FB9"/>
    <w:rsid w:val="00FD6515"/>
    <w:rsid w:val="00FE1488"/>
    <w:rsid w:val="00FE23A8"/>
    <w:rsid w:val="00FE2993"/>
    <w:rsid w:val="00FE3389"/>
    <w:rsid w:val="00FE4389"/>
    <w:rsid w:val="00FE56B4"/>
    <w:rsid w:val="00FE5DE3"/>
    <w:rsid w:val="00FF4145"/>
    <w:rsid w:val="00FF42CE"/>
    <w:rsid w:val="00FF4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2EF75346"/>
  <w15:chartTrackingRefBased/>
  <w15:docId w15:val="{531FF45D-AA10-4A7F-9ADA-C3CEE9ABD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2DFA"/>
    <w:rPr>
      <w:noProof/>
      <w:sz w:val="28"/>
      <w:szCs w:val="28"/>
      <w:lang w:val="vi-VN"/>
    </w:rPr>
  </w:style>
  <w:style w:type="paragraph" w:styleId="Heading3">
    <w:name w:val="heading 3"/>
    <w:basedOn w:val="Normal"/>
    <w:next w:val="Normal"/>
    <w:link w:val="Heading3Char"/>
    <w:semiHidden/>
    <w:unhideWhenUsed/>
    <w:qFormat/>
    <w:rsid w:val="00D1282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qFormat/>
    <w:rsid w:val="0049478F"/>
    <w:pPr>
      <w:keepNext/>
      <w:outlineLvl w:val="3"/>
    </w:pPr>
    <w:rPr>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rsid w:val="0049478F"/>
    <w:pPr>
      <w:spacing w:after="160" w:line="240" w:lineRule="exact"/>
    </w:pPr>
    <w:rPr>
      <w:rFonts w:ascii="Arial" w:hAnsi="Arial"/>
      <w:sz w:val="22"/>
      <w:szCs w:val="22"/>
    </w:rPr>
  </w:style>
  <w:style w:type="character" w:styleId="PageNumber">
    <w:name w:val="page number"/>
    <w:basedOn w:val="DefaultParagraphFont"/>
    <w:rsid w:val="0049478F"/>
  </w:style>
  <w:style w:type="paragraph" w:styleId="Footer">
    <w:name w:val="footer"/>
    <w:basedOn w:val="Normal"/>
    <w:rsid w:val="0049478F"/>
    <w:pPr>
      <w:tabs>
        <w:tab w:val="center" w:pos="4320"/>
        <w:tab w:val="right" w:pos="8640"/>
      </w:tabs>
    </w:pPr>
  </w:style>
  <w:style w:type="paragraph" w:styleId="BodyText2">
    <w:name w:val="Body Text 2"/>
    <w:basedOn w:val="Normal"/>
    <w:link w:val="BodyText2Char"/>
    <w:unhideWhenUsed/>
    <w:rsid w:val="005E7753"/>
    <w:pPr>
      <w:spacing w:after="120" w:line="480" w:lineRule="auto"/>
    </w:pPr>
    <w:rPr>
      <w:rFonts w:ascii="Calibri" w:eastAsia="Calibri" w:hAnsi="Calibri"/>
      <w:sz w:val="22"/>
      <w:szCs w:val="22"/>
    </w:rPr>
  </w:style>
  <w:style w:type="character" w:customStyle="1" w:styleId="BodyText2Char">
    <w:name w:val="Body Text 2 Char"/>
    <w:link w:val="BodyText2"/>
    <w:rsid w:val="005E7753"/>
    <w:rPr>
      <w:rFonts w:ascii="Calibri" w:eastAsia="Calibri" w:hAnsi="Calibri"/>
      <w:sz w:val="22"/>
      <w:szCs w:val="22"/>
      <w:lang w:val="en-US" w:eastAsia="en-US" w:bidi="ar-SA"/>
    </w:rPr>
  </w:style>
  <w:style w:type="paragraph" w:customStyle="1" w:styleId="n-dieu">
    <w:name w:val="n-dieu"/>
    <w:basedOn w:val="Normal"/>
    <w:rsid w:val="003F5F92"/>
    <w:pPr>
      <w:spacing w:before="120" w:after="180"/>
      <w:ind w:firstLine="709"/>
      <w:jc w:val="both"/>
    </w:pPr>
    <w:rPr>
      <w:rFonts w:ascii=".VnTime" w:hAnsi=".VnTime" w:cs=".VnTime"/>
      <w:b/>
      <w:bCs/>
      <w:i/>
      <w:iCs/>
      <w:lang w:val="fr-FR"/>
    </w:rPr>
  </w:style>
  <w:style w:type="paragraph" w:customStyle="1" w:styleId="n-dieund">
    <w:name w:val="n-dieund"/>
    <w:basedOn w:val="Normal"/>
    <w:rsid w:val="000A5593"/>
    <w:pPr>
      <w:spacing w:after="120"/>
      <w:ind w:firstLine="709"/>
      <w:jc w:val="both"/>
    </w:pPr>
    <w:rPr>
      <w:rFonts w:ascii=".VnTime" w:hAnsi=".VnTime" w:cs=".VnTime"/>
    </w:rPr>
  </w:style>
  <w:style w:type="paragraph" w:customStyle="1" w:styleId="CharChar">
    <w:name w:val="Char Char"/>
    <w:basedOn w:val="Normal"/>
    <w:semiHidden/>
    <w:rsid w:val="009E3E02"/>
    <w:pPr>
      <w:spacing w:after="160" w:line="240" w:lineRule="exact"/>
    </w:pPr>
    <w:rPr>
      <w:rFonts w:ascii="Arial" w:hAnsi="Arial" w:cs="Arial"/>
      <w:sz w:val="22"/>
      <w:szCs w:val="22"/>
    </w:rPr>
  </w:style>
  <w:style w:type="character" w:styleId="Strong">
    <w:name w:val="Strong"/>
    <w:qFormat/>
    <w:rsid w:val="00F5082B"/>
    <w:rPr>
      <w:b/>
      <w:bCs/>
    </w:rPr>
  </w:style>
  <w:style w:type="paragraph" w:styleId="NormalWeb">
    <w:name w:val="Normal (Web)"/>
    <w:basedOn w:val="Normal"/>
    <w:uiPriority w:val="99"/>
    <w:rsid w:val="00747E79"/>
    <w:pPr>
      <w:spacing w:before="100" w:beforeAutospacing="1" w:after="100" w:afterAutospacing="1"/>
    </w:pPr>
    <w:rPr>
      <w:sz w:val="24"/>
      <w:szCs w:val="24"/>
    </w:rPr>
  </w:style>
  <w:style w:type="paragraph" w:customStyle="1" w:styleId="nddieuthan">
    <w:name w:val="nd_dieu_than"/>
    <w:basedOn w:val="Normal"/>
    <w:rsid w:val="00747E79"/>
    <w:pPr>
      <w:suppressAutoHyphens/>
      <w:spacing w:before="80" w:line="100" w:lineRule="atLeast"/>
      <w:ind w:firstLine="720"/>
      <w:jc w:val="both"/>
    </w:pPr>
    <w:rPr>
      <w:kern w:val="1"/>
      <w:szCs w:val="20"/>
    </w:rPr>
  </w:style>
  <w:style w:type="character" w:customStyle="1" w:styleId="apple-converted-space">
    <w:name w:val="apple-converted-space"/>
    <w:rsid w:val="00747E79"/>
  </w:style>
  <w:style w:type="character" w:customStyle="1" w:styleId="CharChar3">
    <w:name w:val="Char Char3"/>
    <w:rsid w:val="00B708BB"/>
    <w:rPr>
      <w:rFonts w:ascii="Calibri" w:eastAsia="Calibri" w:hAnsi="Calibri"/>
      <w:sz w:val="22"/>
      <w:szCs w:val="22"/>
      <w:lang w:val="en-US" w:eastAsia="en-US" w:bidi="ar-SA"/>
    </w:rPr>
  </w:style>
  <w:style w:type="paragraph" w:styleId="BalloonText">
    <w:name w:val="Balloon Text"/>
    <w:basedOn w:val="Normal"/>
    <w:link w:val="BalloonTextChar"/>
    <w:rsid w:val="00F82FBE"/>
    <w:rPr>
      <w:rFonts w:ascii="Segoe UI" w:hAnsi="Segoe UI"/>
      <w:sz w:val="18"/>
      <w:szCs w:val="18"/>
      <w:lang w:val="x-none" w:eastAsia="x-none"/>
    </w:rPr>
  </w:style>
  <w:style w:type="character" w:customStyle="1" w:styleId="BalloonTextChar">
    <w:name w:val="Balloon Text Char"/>
    <w:link w:val="BalloonText"/>
    <w:rsid w:val="00F82FBE"/>
    <w:rPr>
      <w:rFonts w:ascii="Segoe UI" w:hAnsi="Segoe UI" w:cs="Segoe UI"/>
      <w:sz w:val="18"/>
      <w:szCs w:val="18"/>
    </w:rPr>
  </w:style>
  <w:style w:type="paragraph" w:styleId="Header">
    <w:name w:val="header"/>
    <w:basedOn w:val="Normal"/>
    <w:link w:val="HeaderChar"/>
    <w:uiPriority w:val="99"/>
    <w:rsid w:val="00893269"/>
    <w:pPr>
      <w:tabs>
        <w:tab w:val="center" w:pos="4680"/>
        <w:tab w:val="right" w:pos="9360"/>
      </w:tabs>
    </w:pPr>
  </w:style>
  <w:style w:type="character" w:customStyle="1" w:styleId="HeaderChar">
    <w:name w:val="Header Char"/>
    <w:link w:val="Header"/>
    <w:uiPriority w:val="99"/>
    <w:rsid w:val="00893269"/>
    <w:rPr>
      <w:sz w:val="28"/>
      <w:szCs w:val="28"/>
    </w:rPr>
  </w:style>
  <w:style w:type="paragraph" w:styleId="BodyText">
    <w:name w:val="Body Text"/>
    <w:basedOn w:val="Normal"/>
    <w:link w:val="BodyTextChar"/>
    <w:rsid w:val="00B65735"/>
    <w:pPr>
      <w:spacing w:after="120"/>
    </w:pPr>
  </w:style>
  <w:style w:type="character" w:customStyle="1" w:styleId="BodyTextChar">
    <w:name w:val="Body Text Char"/>
    <w:link w:val="BodyText"/>
    <w:rsid w:val="00B65735"/>
    <w:rPr>
      <w:sz w:val="28"/>
      <w:szCs w:val="28"/>
      <w:lang w:val="en-US" w:eastAsia="en-US"/>
    </w:rPr>
  </w:style>
  <w:style w:type="paragraph" w:styleId="Revision">
    <w:name w:val="Revision"/>
    <w:hidden/>
    <w:uiPriority w:val="99"/>
    <w:semiHidden/>
    <w:rsid w:val="0007366D"/>
    <w:rPr>
      <w:noProof/>
      <w:sz w:val="28"/>
      <w:szCs w:val="28"/>
      <w:lang w:val="vi-VN"/>
    </w:rPr>
  </w:style>
  <w:style w:type="character" w:styleId="Emphasis">
    <w:name w:val="Emphasis"/>
    <w:basedOn w:val="DefaultParagraphFont"/>
    <w:uiPriority w:val="20"/>
    <w:qFormat/>
    <w:rsid w:val="006177D3"/>
    <w:rPr>
      <w:i/>
      <w:iCs/>
    </w:rPr>
  </w:style>
  <w:style w:type="character" w:styleId="Hyperlink">
    <w:name w:val="Hyperlink"/>
    <w:basedOn w:val="DefaultParagraphFont"/>
    <w:uiPriority w:val="99"/>
    <w:unhideWhenUsed/>
    <w:rsid w:val="006177D3"/>
    <w:rPr>
      <w:color w:val="0000FF"/>
      <w:u w:val="single"/>
    </w:rPr>
  </w:style>
  <w:style w:type="paragraph" w:styleId="FootnoteText">
    <w:name w:val="footnote text"/>
    <w:basedOn w:val="Normal"/>
    <w:link w:val="FootnoteTextChar"/>
    <w:uiPriority w:val="99"/>
    <w:unhideWhenUsed/>
    <w:rsid w:val="00EB0FCA"/>
    <w:pPr>
      <w:spacing w:after="200" w:line="276" w:lineRule="auto"/>
    </w:pPr>
    <w:rPr>
      <w:rFonts w:eastAsia="Calibri"/>
      <w:noProof w:val="0"/>
      <w:sz w:val="20"/>
      <w:szCs w:val="20"/>
      <w:lang w:val="en-US"/>
    </w:rPr>
  </w:style>
  <w:style w:type="character" w:customStyle="1" w:styleId="FootnoteTextChar">
    <w:name w:val="Footnote Text Char"/>
    <w:basedOn w:val="DefaultParagraphFont"/>
    <w:link w:val="FootnoteText"/>
    <w:uiPriority w:val="99"/>
    <w:rsid w:val="00EB0FCA"/>
    <w:rPr>
      <w:rFonts w:eastAsia="Calibri"/>
    </w:rPr>
  </w:style>
  <w:style w:type="character" w:styleId="FootnoteReference">
    <w:name w:val="footnote reference"/>
    <w:uiPriority w:val="99"/>
    <w:unhideWhenUsed/>
    <w:rsid w:val="00EB0FCA"/>
    <w:rPr>
      <w:vertAlign w:val="superscript"/>
    </w:rPr>
  </w:style>
  <w:style w:type="character" w:customStyle="1" w:styleId="Heading3Char">
    <w:name w:val="Heading 3 Char"/>
    <w:basedOn w:val="DefaultParagraphFont"/>
    <w:link w:val="Heading3"/>
    <w:semiHidden/>
    <w:rsid w:val="00D1282B"/>
    <w:rPr>
      <w:rFonts w:asciiTheme="majorHAnsi" w:eastAsiaTheme="majorEastAsia" w:hAnsiTheme="majorHAnsi" w:cstheme="majorBidi"/>
      <w:noProof/>
      <w:color w:val="1F4D78" w:themeColor="accent1" w:themeShade="7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232084">
      <w:bodyDiv w:val="1"/>
      <w:marLeft w:val="0"/>
      <w:marRight w:val="0"/>
      <w:marTop w:val="0"/>
      <w:marBottom w:val="0"/>
      <w:divBdr>
        <w:top w:val="none" w:sz="0" w:space="0" w:color="auto"/>
        <w:left w:val="none" w:sz="0" w:space="0" w:color="auto"/>
        <w:bottom w:val="none" w:sz="0" w:space="0" w:color="auto"/>
        <w:right w:val="none" w:sz="0" w:space="0" w:color="auto"/>
      </w:divBdr>
    </w:div>
    <w:div w:id="177617735">
      <w:bodyDiv w:val="1"/>
      <w:marLeft w:val="0"/>
      <w:marRight w:val="0"/>
      <w:marTop w:val="0"/>
      <w:marBottom w:val="0"/>
      <w:divBdr>
        <w:top w:val="none" w:sz="0" w:space="0" w:color="auto"/>
        <w:left w:val="none" w:sz="0" w:space="0" w:color="auto"/>
        <w:bottom w:val="none" w:sz="0" w:space="0" w:color="auto"/>
        <w:right w:val="none" w:sz="0" w:space="0" w:color="auto"/>
      </w:divBdr>
    </w:div>
    <w:div w:id="207206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CCA09-9170-4432-98F9-80F237983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17</Pages>
  <Words>7463</Words>
  <Characters>42541</Characters>
  <Application>Microsoft Office Word</Application>
  <DocSecurity>0</DocSecurity>
  <Lines>354</Lines>
  <Paragraphs>99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BỘ NÔNG NGHIỆP</vt:lpstr>
      <vt:lpstr>BỘ NÔNG NGHIỆP</vt:lpstr>
    </vt:vector>
  </TitlesOfParts>
  <Company/>
  <LinksUpToDate>false</LinksUpToDate>
  <CharactersWithSpaces>49905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NÔNG NGHIỆP</dc:title>
  <dc:subject/>
  <dc:creator>HP</dc:creator>
  <cp:keywords/>
  <dc:description/>
  <cp:lastModifiedBy>Administrator</cp:lastModifiedBy>
  <cp:revision>10</cp:revision>
  <cp:lastPrinted>2026-08-28T03:35:00Z</cp:lastPrinted>
  <dcterms:created xsi:type="dcterms:W3CDTF">2026-08-13T01:31:00Z</dcterms:created>
  <dcterms:modified xsi:type="dcterms:W3CDTF">2026-09-04T09:52:00Z</dcterms:modified>
</cp:coreProperties>
</file>