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01A3A" w14:textId="50D73A50" w:rsidR="004B6318" w:rsidRDefault="004C6841">
      <w:pPr>
        <w:jc w:val="center"/>
        <w:rPr>
          <w:sz w:val="26"/>
          <w:szCs w:val="18"/>
          <w:lang w:val="en-US"/>
        </w:rPr>
      </w:pPr>
      <w:r>
        <w:rPr>
          <w:b/>
          <w:bCs/>
          <w:noProof/>
        </w:rPr>
        <mc:AlternateContent>
          <mc:Choice Requires="wps">
            <w:drawing>
              <wp:anchor distT="0" distB="0" distL="114300" distR="114300" simplePos="0" relativeHeight="251660288" behindDoc="0" locked="0" layoutInCell="1" allowOverlap="1" wp14:anchorId="66A57BDA" wp14:editId="57171BDF">
                <wp:simplePos x="0" y="0"/>
                <wp:positionH relativeFrom="page">
                  <wp:align>right</wp:align>
                </wp:positionH>
                <wp:positionV relativeFrom="paragraph">
                  <wp:posOffset>-500380</wp:posOffset>
                </wp:positionV>
                <wp:extent cx="3810000" cy="476250"/>
                <wp:effectExtent l="0" t="0" r="19050" b="19050"/>
                <wp:wrapNone/>
                <wp:docPr id="214681989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0" cy="476250"/>
                        </a:xfrm>
                        <a:prstGeom prst="rect">
                          <a:avLst/>
                        </a:prstGeom>
                        <a:solidFill>
                          <a:srgbClr val="FFFFFF"/>
                        </a:solidFill>
                        <a:ln w="9525">
                          <a:solidFill>
                            <a:schemeClr val="bg1"/>
                          </a:solidFill>
                          <a:miter lim="800000"/>
                          <a:headEnd/>
                          <a:tailEnd/>
                        </a:ln>
                      </wps:spPr>
                      <wps:txbx>
                        <w:txbxContent>
                          <w:p w14:paraId="006734B0" w14:textId="6E5E40C4" w:rsidR="004B6318" w:rsidRDefault="004C6841">
                            <w:pPr>
                              <w:contextualSpacing/>
                              <w:jc w:val="center"/>
                              <w:rPr>
                                <w:i/>
                                <w:iCs/>
                                <w:sz w:val="24"/>
                                <w:lang w:val="en-US"/>
                              </w:rPr>
                            </w:pPr>
                            <w:r>
                              <w:rPr>
                                <w:i/>
                                <w:iCs/>
                                <w:sz w:val="24"/>
                                <w:lang w:val="en-US"/>
                              </w:rPr>
                              <w:t>Phụ lục IV</w:t>
                            </w:r>
                          </w:p>
                          <w:p w14:paraId="25FB4EF9" w14:textId="42E19307" w:rsidR="004B6318" w:rsidRDefault="004C6841">
                            <w:pPr>
                              <w:contextualSpacing/>
                              <w:jc w:val="center"/>
                              <w:rPr>
                                <w:i/>
                                <w:iCs/>
                                <w:spacing w:val="-20"/>
                                <w:sz w:val="24"/>
                                <w:lang w:val="en-US"/>
                              </w:rPr>
                            </w:pPr>
                            <w:r>
                              <w:rPr>
                                <w:i/>
                                <w:iCs/>
                                <w:spacing w:val="-20"/>
                                <w:sz w:val="24"/>
                                <w:lang w:val="en-US"/>
                              </w:rPr>
                              <w:t>BH kèm theo TT số 13/2026/TT-BKHCN ngày 09/4/2026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A57BDA" id="Rectangle 2" o:spid="_x0000_s1026" style="position:absolute;left:0;text-align:left;margin-left:248.8pt;margin-top:-39.4pt;width:300pt;height:37.5pt;z-index:25166028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FkJFQIAACAEAAAOAAAAZHJzL2Uyb0RvYy54bWysU1Fv0zAQfkfiP1h+p2lKu3VR02nqKEIa&#10;A2nwAxzHSSwcnzm7Tcqv5+x2XRlviDxYdzn783fffV7djr1he4Vegy15PplypqyEWtu25N+/bd8t&#10;OfNB2FoYsKrkB+X57frtm9XgCjWDDkytkBGI9cXgSt6F4Ios87JTvfATcMpSsQHsRaAU26xGMRB6&#10;b7LZdHqVDYC1Q5DKe/p7fyzydcJvGiXDl6bxKjBTcuIW0oppreKarVeiaFG4TssTDfEPLHqhLV16&#10;hroXQbAd6r+gei0RPDRhIqHPoGm0VKkH6iafvurmqRNOpV5IHO/OMvn/Bysf90/uK0bq3j2A/OGZ&#10;hU0nbKvuEGHolKjpujwKlQ3OF+cDMfF0lFXDZ6hptGIXIGkwNthHQOqOjUnqw1lqNQYm6ef7ZT6l&#10;jzNJtfn11WyRZpGJ4vm0Qx8+KuhZDEqONMqELvYPPkQ2onjektiD0fVWG5MSbKuNQbYXNPZt+lID&#10;1OTlNmPZUPKbxWyRkP+oJQeqM0jVHiV4hdDrQPY1ui/5MvZzMlRU7YOtk7mC0OYYE2NjTzJG5aJJ&#10;fRHGaqSNMaygPpCgCEeb0rOioAP8xdlAFi25/7kTqDgznywN5Safz6OnUzJfXM8owctKdVkRVhJU&#10;yQNnx3ATju9g51C3Hd2UJxUs3NEgG500fmF14k02TNKfnkz0+WWedr087PVvAAAA//8DAFBLAwQU&#10;AAYACAAAACEA6EtNwtkAAAAHAQAADwAAAGRycy9kb3ducmV2LnhtbEyPwU7DMBBE70j8g7VI3Fob&#10;EG0U4lSoCPXChQD3bWySqPE6sp3W+XuWExx3ZjT7ptplN4qzDXHwpOFurUBYar0ZqNPw+fG6KkDE&#10;hGRw9GQ1LDbCrr6+qrA0/kLv9tykTnAJxRI19ClNpZSx7a3DuPaTJfa+fXCY+AydNAEvXO5Gea/U&#10;RjociD/0ONl9b9tTMzsNbyYf9u1jPjUvuA1fYV4SHhatb2/y8xOIZHP6C8MvPqNDzUxHP5OJYtTA&#10;Q5KG1bbgAWxvlGLlyMpDAbKu5H/++gcAAP//AwBQSwECLQAUAAYACAAAACEAtoM4kv4AAADhAQAA&#10;EwAAAAAAAAAAAAAAAAAAAAAAW0NvbnRlbnRfVHlwZXNdLnhtbFBLAQItABQABgAIAAAAIQA4/SH/&#10;1gAAAJQBAAALAAAAAAAAAAAAAAAAAC8BAABfcmVscy8ucmVsc1BLAQItABQABgAIAAAAIQBblFkJ&#10;FQIAACAEAAAOAAAAAAAAAAAAAAAAAC4CAABkcnMvZTJvRG9jLnhtbFBLAQItABQABgAIAAAAIQDo&#10;S03C2QAAAAcBAAAPAAAAAAAAAAAAAAAAAG8EAABkcnMvZG93bnJldi54bWxQSwUGAAAAAAQABADz&#10;AAAAdQUAAAAA&#10;" strokecolor="white [3212]">
                <v:textbox>
                  <w:txbxContent>
                    <w:p w14:paraId="006734B0" w14:textId="6E5E40C4" w:rsidR="004B6318" w:rsidRDefault="004C6841">
                      <w:pPr>
                        <w:contextualSpacing/>
                        <w:jc w:val="center"/>
                        <w:rPr>
                          <w:i/>
                          <w:iCs/>
                          <w:sz w:val="24"/>
                          <w:lang w:val="en-US"/>
                        </w:rPr>
                      </w:pPr>
                      <w:r>
                        <w:rPr>
                          <w:i/>
                          <w:iCs/>
                          <w:sz w:val="24"/>
                          <w:lang w:val="en-US"/>
                        </w:rPr>
                        <w:t>Ph</w:t>
                      </w:r>
                      <w:r>
                        <w:rPr>
                          <w:i/>
                          <w:iCs/>
                          <w:sz w:val="24"/>
                          <w:lang w:val="en-US"/>
                        </w:rPr>
                        <w:t>ụ</w:t>
                      </w:r>
                      <w:r>
                        <w:rPr>
                          <w:i/>
                          <w:iCs/>
                          <w:sz w:val="24"/>
                          <w:lang w:val="en-US"/>
                        </w:rPr>
                        <w:t xml:space="preserve"> l</w:t>
                      </w:r>
                      <w:r>
                        <w:rPr>
                          <w:i/>
                          <w:iCs/>
                          <w:sz w:val="24"/>
                          <w:lang w:val="en-US"/>
                        </w:rPr>
                        <w:t>ụ</w:t>
                      </w:r>
                      <w:r>
                        <w:rPr>
                          <w:i/>
                          <w:iCs/>
                          <w:sz w:val="24"/>
                          <w:lang w:val="en-US"/>
                        </w:rPr>
                        <w:t>c IV</w:t>
                      </w:r>
                    </w:p>
                    <w:p w14:paraId="25FB4EF9" w14:textId="42E19307" w:rsidR="004B6318" w:rsidRDefault="004C6841">
                      <w:pPr>
                        <w:contextualSpacing/>
                        <w:jc w:val="center"/>
                        <w:rPr>
                          <w:i/>
                          <w:iCs/>
                          <w:spacing w:val="-20"/>
                          <w:sz w:val="24"/>
                          <w:lang w:val="en-US"/>
                        </w:rPr>
                      </w:pPr>
                      <w:r>
                        <w:rPr>
                          <w:i/>
                          <w:iCs/>
                          <w:spacing w:val="-20"/>
                          <w:sz w:val="24"/>
                          <w:lang w:val="en-US"/>
                        </w:rPr>
                        <w:t>BH kèm theo TT s</w:t>
                      </w:r>
                      <w:r>
                        <w:rPr>
                          <w:i/>
                          <w:iCs/>
                          <w:spacing w:val="-20"/>
                          <w:sz w:val="24"/>
                          <w:lang w:val="en-US"/>
                        </w:rPr>
                        <w:t>ố</w:t>
                      </w:r>
                      <w:r>
                        <w:rPr>
                          <w:i/>
                          <w:iCs/>
                          <w:spacing w:val="-20"/>
                          <w:sz w:val="24"/>
                          <w:lang w:val="en-US"/>
                        </w:rPr>
                        <w:t xml:space="preserve"> 13/2026/TT-BKHCN ngày 09/4/2026</w:t>
                      </w:r>
                    </w:p>
                  </w:txbxContent>
                </v:textbox>
                <w10:wrap anchorx="page"/>
              </v:rect>
            </w:pict>
          </mc:Fallback>
        </mc:AlternateContent>
      </w:r>
      <w:r>
        <w:rPr>
          <w:b/>
          <w:bCs/>
          <w:sz w:val="26"/>
          <w:szCs w:val="18"/>
        </w:rPr>
        <w:t>CỘNG HÒA XÃ HỘI CHỦ NGHĨA VIỆT NAM</w:t>
      </w:r>
    </w:p>
    <w:p w14:paraId="2C5EAC30" w14:textId="6AB6ACFF" w:rsidR="004B6318" w:rsidRDefault="004C6841">
      <w:pPr>
        <w:jc w:val="center"/>
      </w:pPr>
      <w:r>
        <w:rPr>
          <w:b/>
          <w:bCs/>
        </w:rPr>
        <w:t>Độc lập - Tự do - Hạnh phúc</w:t>
      </w:r>
    </w:p>
    <w:p w14:paraId="13E5D7EC" w14:textId="20EB3157" w:rsidR="004B6318" w:rsidRDefault="004C6841">
      <w:pPr>
        <w:jc w:val="both"/>
        <w:rPr>
          <w:lang w:val="en-US"/>
        </w:rPr>
      </w:pPr>
      <w:r>
        <w:rPr>
          <w:noProof/>
          <w:lang w:val="en-US"/>
        </w:rPr>
        <mc:AlternateContent>
          <mc:Choice Requires="wps">
            <w:drawing>
              <wp:anchor distT="0" distB="0" distL="114300" distR="114300" simplePos="0" relativeHeight="251659264" behindDoc="0" locked="0" layoutInCell="1" allowOverlap="1" wp14:anchorId="40D9AB48" wp14:editId="59729871">
                <wp:simplePos x="0" y="0"/>
                <wp:positionH relativeFrom="column">
                  <wp:posOffset>1843174</wp:posOffset>
                </wp:positionH>
                <wp:positionV relativeFrom="paragraph">
                  <wp:posOffset>34983</wp:posOffset>
                </wp:positionV>
                <wp:extent cx="2037542" cy="0"/>
                <wp:effectExtent l="0" t="0" r="0" b="0"/>
                <wp:wrapNone/>
                <wp:docPr id="1852741363" name="Straight Connector 1"/>
                <wp:cNvGraphicFramePr/>
                <a:graphic xmlns:a="http://schemas.openxmlformats.org/drawingml/2006/main">
                  <a:graphicData uri="http://schemas.microsoft.com/office/word/2010/wordprocessingShape">
                    <wps:wsp>
                      <wps:cNvCnPr/>
                      <wps:spPr>
                        <a:xfrm>
                          <a:off x="0" y="0"/>
                          <a:ext cx="203754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4172E2"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5.15pt,2.75pt" to="305.6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3M5mQEAAIgDAAAOAAAAZHJzL2Uyb0RvYy54bWysU9uO0zAQfUfiHyy/06TlqqjpPuwKXhCs&#10;YPkArzNuLGyPNTZN+veM3TZFgBBCvDi+nHNmzsxkezN7Jw5AyWLo5XrVSgFB42DDvpdfHt4+eyNF&#10;yioMymGAXh4hyZvd0yfbKXawwRHdACRYJKRuir0cc45d0yQ9gldphRECPxokrzIfad8MpCZW967Z&#10;tO2rZkIaIqGGlPj27vQod1XfGND5ozEJsnC95NxyXamuj2VtdlvV7UnF0epzGuofsvDKBg66SN2p&#10;rMQ3sr9IeasJE5q80ugbNMZqqB7Yzbr9yc3nUUWoXrg4KS5lSv9PVn843IZ74jJMMXUp3lNxMRvy&#10;5cv5ibkW67gUC+YsNF9u2uevX77YSKEvb82VGCnld4BelE0vnQ3Fh+rU4X3KHIyhFwgfrqHrLh8d&#10;FLALn8AIO3CwdWXXqYBbR+KguJ/D13XpH2tVZKEY69xCav9MOmMLDeqk/C1xQdeIGPJC9DYg/S5q&#10;ni+pmhP+4vrktdh+xOFYG1HLwe2uzs6jWebpx3OlX3+g3XcAAAD//wMAUEsDBBQABgAIAAAAIQD9&#10;bGz42QAAAAcBAAAPAAAAZHJzL2Rvd25yZXYueG1sTI7BTsMwEETvSPyDtUhcELWTqi2EOFWE1A+g&#10;7YHjNl6SqPY6xG4a/h7DBY6jGb155XZ2Vkw0ht6zhmyhQBA33vTcajgedo9PIEJENmg9k4YvCrCt&#10;bm9KLIy/8htN+9iKBOFQoIYuxqGQMjQdOQwLPxCn7sOPDmOKYyvNiNcEd1bmSq2lw57TQ4cDvXbU&#10;nPcXp+HwviHTPdh6ws/acLs897uN0vr+bq5fQESa498YfvSTOlTJ6eQvbIKwGvJntUxTDasViNSv&#10;sywHcfrNsirlf//qGwAA//8DAFBLAQItABQABgAIAAAAIQC2gziS/gAAAOEBAAATAAAAAAAAAAAA&#10;AAAAAAAAAABbQ29udGVudF9UeXBlc10ueG1sUEsBAi0AFAAGAAgAAAAhADj9If/WAAAAlAEAAAsA&#10;AAAAAAAAAAAAAAAALwEAAF9yZWxzLy5yZWxzUEsBAi0AFAAGAAgAAAAhAArrczmZAQAAiAMAAA4A&#10;AAAAAAAAAAAAAAAALgIAAGRycy9lMm9Eb2MueG1sUEsBAi0AFAAGAAgAAAAhAP1sbPjZAAAABwEA&#10;AA8AAAAAAAAAAAAAAAAA8wMAAGRycy9kb3ducmV2LnhtbFBLBQYAAAAABAAEAPMAAAD5BAAAAAA=&#10;" strokecolor="black [3200]" strokeweight="1pt">
                <v:stroke joinstyle="miter"/>
              </v:line>
            </w:pict>
          </mc:Fallback>
        </mc:AlternateContent>
      </w:r>
    </w:p>
    <w:p w14:paraId="55DA69F2" w14:textId="77777777" w:rsidR="004B6318" w:rsidRDefault="004B6318">
      <w:pPr>
        <w:jc w:val="both"/>
        <w:rPr>
          <w:lang w:val="en-US"/>
        </w:rPr>
      </w:pPr>
    </w:p>
    <w:p w14:paraId="78FC6FDA" w14:textId="590AAEC1" w:rsidR="004B6318" w:rsidRDefault="004C6841">
      <w:pPr>
        <w:jc w:val="center"/>
        <w:rPr>
          <w:b/>
          <w:bCs/>
          <w:lang w:val="en-US"/>
        </w:rPr>
      </w:pPr>
      <w:r>
        <w:rPr>
          <w:b/>
          <w:bCs/>
        </w:rPr>
        <w:t>THUYẾT MINH DỰ THẢO TIÊU CHUẨN QUỐC GIA</w:t>
      </w:r>
    </w:p>
    <w:p w14:paraId="1DB3FE92" w14:textId="77777777" w:rsidR="004B6318" w:rsidRDefault="004B6318">
      <w:pPr>
        <w:jc w:val="both"/>
        <w:rPr>
          <w:lang w:val="en-US"/>
        </w:rPr>
      </w:pPr>
    </w:p>
    <w:p w14:paraId="3C4B5BE3" w14:textId="77777777" w:rsidR="004B6318" w:rsidRDefault="004C6841">
      <w:pPr>
        <w:ind w:firstLine="720"/>
        <w:jc w:val="both"/>
        <w:rPr>
          <w:lang w:val="en-US"/>
        </w:rPr>
      </w:pPr>
      <w:r>
        <w:rPr>
          <w:b/>
          <w:bCs/>
        </w:rPr>
        <w:t>1. Thông tin chung về dự thảo TCVN</w:t>
      </w:r>
      <w:r>
        <w:t xml:space="preserve"> </w:t>
      </w:r>
    </w:p>
    <w:p w14:paraId="4E4FDC4D" w14:textId="7B920A1A" w:rsidR="004B6318" w:rsidRDefault="004C6841">
      <w:pPr>
        <w:ind w:firstLine="720"/>
        <w:jc w:val="both"/>
        <w:rPr>
          <w:lang w:val="en-US"/>
        </w:rPr>
      </w:pPr>
      <w:r>
        <w:rPr>
          <w:b/>
          <w:bCs/>
        </w:rPr>
        <w:t>a) Tên dự thảo TCVN:</w:t>
      </w:r>
      <w:r>
        <w:t xml:space="preserve"> Phòng cháy chữa cháy - Hệ thống chữa cháy bằng bọt - Phần 1: Thiết bị định lượng chất tạo bọt.</w:t>
      </w:r>
    </w:p>
    <w:p w14:paraId="2835AC19" w14:textId="77777777" w:rsidR="004B6318" w:rsidRDefault="004C6841">
      <w:pPr>
        <w:ind w:firstLine="720"/>
        <w:jc w:val="both"/>
        <w:rPr>
          <w:lang w:val="en-US"/>
        </w:rPr>
      </w:pPr>
      <w:r>
        <w:rPr>
          <w:b/>
          <w:bCs/>
        </w:rPr>
        <w:t>b) Thuộc lĩnh vực:</w:t>
      </w:r>
      <w:r>
        <w:t xml:space="preserve"> Phòng cháy chữa cháy.</w:t>
      </w:r>
    </w:p>
    <w:p w14:paraId="40AE4615" w14:textId="77777777" w:rsidR="004B6318" w:rsidRDefault="004C6841">
      <w:pPr>
        <w:ind w:firstLine="720"/>
        <w:jc w:val="both"/>
        <w:rPr>
          <w:lang w:val="en-US"/>
        </w:rPr>
      </w:pPr>
      <w:r>
        <w:rPr>
          <w:b/>
          <w:bCs/>
        </w:rPr>
        <w:t>c) Phạm vi áp dụng của TCVN:</w:t>
      </w:r>
      <w:r>
        <w:t xml:space="preserve"> Tiêu chuẩn này quy định các yêu cầu và phương pháp thử nghiệm đối với thiết bị định lượng chất tạo bọt của hệ thống chữa cháy bằng bọt cố định dùng trong nhà, ngoài trời hoặc cả hai. Tiêu chuẩn không quy định việc nghiệm thu hệ thống hoặc xác nhận sự phù hợp của thiết bị sau khi lắp đặt.</w:t>
      </w:r>
    </w:p>
    <w:p w14:paraId="7E876C87" w14:textId="7B2B6A1F" w:rsidR="004B6318" w:rsidRDefault="004C6841">
      <w:pPr>
        <w:ind w:firstLine="720"/>
        <w:jc w:val="both"/>
        <w:rPr>
          <w:lang w:val="en-US"/>
        </w:rPr>
      </w:pPr>
      <w:r>
        <w:rPr>
          <w:b/>
          <w:bCs/>
        </w:rPr>
        <w:t>d) Mục tiêu của TCVN:</w:t>
      </w:r>
      <w:r>
        <w:t xml:space="preserve"> Thiết lập cơ sở khoa học và kỹ thuật thống nhất để đánh giá chất lượng thiết bị định lượng chất tạo bọt bằng các yêu cầu và phương pháp thử có thể kiểm chứng; chuẩn hóa tỷ lệ định lượng, tổn thất áp suất, độ bền chịu áp, khả năng kín khít, độ tin cậy, kết cấu, vật liệu, độ bền môi trường, ghi nhãn và hồ sơ kỹ thuật; hỗ trợ hoạt động thử nghiệm, kiểm soát chất lượng và đánh giá sự phù hợp đối với sản phẩm.</w:t>
      </w:r>
    </w:p>
    <w:p w14:paraId="49C1573D" w14:textId="77777777" w:rsidR="004B6318" w:rsidRDefault="004C6841">
      <w:pPr>
        <w:ind w:firstLine="720"/>
        <w:jc w:val="both"/>
        <w:rPr>
          <w:lang w:val="en-US"/>
        </w:rPr>
      </w:pPr>
      <w:r>
        <w:rPr>
          <w:b/>
          <w:bCs/>
        </w:rPr>
        <w:t>đ) Cơ quan chủ trì soạn thảo:</w:t>
      </w:r>
      <w:r>
        <w:t xml:space="preserve"> Cục Cảnh sát phòng cháy, chữa cháy và cứu nạn, cứu hộ (C07) - Bộ Công an.</w:t>
      </w:r>
    </w:p>
    <w:p w14:paraId="474D2993" w14:textId="77777777" w:rsidR="004B6318" w:rsidRDefault="004C6841">
      <w:pPr>
        <w:ind w:firstLine="720"/>
        <w:jc w:val="both"/>
        <w:rPr>
          <w:lang w:val="en-US"/>
        </w:rPr>
      </w:pPr>
      <w:r>
        <w:rPr>
          <w:b/>
          <w:bCs/>
        </w:rPr>
        <w:t>e) Tổ chức tham gia soạn thảo:</w:t>
      </w:r>
      <w:r>
        <w:t xml:space="preserve"> Ban biên soạn TCVN Thiết bị định lượng chất tạo bọt.</w:t>
      </w:r>
    </w:p>
    <w:p w14:paraId="3E154347" w14:textId="193CA9DC" w:rsidR="004B6318" w:rsidRDefault="004C6841">
      <w:pPr>
        <w:ind w:firstLine="720"/>
        <w:jc w:val="both"/>
      </w:pPr>
      <w:r>
        <w:rPr>
          <w:b/>
          <w:bCs/>
        </w:rPr>
        <w:t>g) Phiên bản dự thảo:</w:t>
      </w:r>
      <w:r>
        <w:t xml:space="preserve"> Bản hoàn thiện trình Bộ Khoa học và Công nghệ, sau lấy ý kiến lần 2.</w:t>
      </w:r>
    </w:p>
    <w:p w14:paraId="50C2E065" w14:textId="77777777" w:rsidR="004B6318" w:rsidRDefault="004C6841">
      <w:pPr>
        <w:ind w:firstLine="720"/>
        <w:jc w:val="both"/>
        <w:rPr>
          <w:lang w:val="en-US"/>
        </w:rPr>
      </w:pPr>
      <w:r>
        <w:rPr>
          <w:b/>
          <w:bCs/>
        </w:rPr>
        <w:t>2. Nội dung dự thảo TCVN</w:t>
      </w:r>
    </w:p>
    <w:p w14:paraId="319AA5F8" w14:textId="145B173B" w:rsidR="004B6318" w:rsidRDefault="004C6841">
      <w:pPr>
        <w:ind w:firstLine="720"/>
        <w:jc w:val="both"/>
        <w:rPr>
          <w:lang w:val="en-US"/>
        </w:rPr>
      </w:pPr>
      <w:r>
        <w:rPr>
          <w:lang w:val="en-US"/>
        </w:rPr>
        <w:t>Dự thảo TCVN được xây dựng trên cơ sở tham khảo và kế thừa có chọn lọc ISO 7076-1:2012, ưu tiên sử dụng tiêu chuẩn quốc gia, đồng thời chuyển hóa các yêu cầu kỹ thuật để phù hợp với điều kiện quản lý, thử nghiệm và áp dụng tại Việt Nam. Nội dung trọng tâm của dự thảo được thuyết minh như sau:</w:t>
      </w:r>
    </w:p>
    <w:p w14:paraId="2484F98A" w14:textId="77777777" w:rsidR="00467DF0" w:rsidRPr="00467DF0" w:rsidRDefault="00467DF0">
      <w:pPr>
        <w:ind w:firstLine="720"/>
        <w:jc w:val="both"/>
        <w:rPr>
          <w:sz w:val="14"/>
          <w:szCs w:val="6"/>
          <w:lang w:val="en-US"/>
        </w:rPr>
      </w:pPr>
    </w:p>
    <w:tbl>
      <w:tblPr>
        <w:tblW w:w="906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1552"/>
        <w:gridCol w:w="7512"/>
      </w:tblGrid>
      <w:tr w:rsidR="004B6318" w14:paraId="76486CAB" w14:textId="77777777" w:rsidTr="00467DF0">
        <w:trPr>
          <w:tblHeader/>
          <w:jc w:val="center"/>
        </w:trPr>
        <w:tc>
          <w:tcPr>
            <w:tcW w:w="1552" w:type="dxa"/>
            <w:shd w:val="clear" w:color="auto" w:fill="D9EAF7"/>
            <w:vAlign w:val="center"/>
          </w:tcPr>
          <w:p w14:paraId="1768DC78" w14:textId="77777777" w:rsidR="004B6318" w:rsidRDefault="004C6841">
            <w:pPr>
              <w:jc w:val="center"/>
              <w:rPr>
                <w:szCs w:val="28"/>
              </w:rPr>
            </w:pPr>
            <w:r>
              <w:rPr>
                <w:rFonts w:eastAsia="Times New Roman"/>
                <w:b/>
                <w:szCs w:val="28"/>
              </w:rPr>
              <w:t>DỰ THẢO TCVN</w:t>
            </w:r>
          </w:p>
        </w:tc>
        <w:tc>
          <w:tcPr>
            <w:tcW w:w="7512" w:type="dxa"/>
            <w:shd w:val="clear" w:color="auto" w:fill="D9EAF7"/>
            <w:vAlign w:val="center"/>
          </w:tcPr>
          <w:p w14:paraId="2CDEB166" w14:textId="77777777" w:rsidR="004B6318" w:rsidRDefault="004C6841">
            <w:pPr>
              <w:jc w:val="center"/>
              <w:rPr>
                <w:szCs w:val="28"/>
              </w:rPr>
            </w:pPr>
            <w:r>
              <w:rPr>
                <w:rFonts w:eastAsia="Times New Roman"/>
                <w:b/>
                <w:szCs w:val="28"/>
              </w:rPr>
              <w:t>THUYẾT MINH</w:t>
            </w:r>
          </w:p>
        </w:tc>
      </w:tr>
      <w:tr w:rsidR="004B6318" w14:paraId="24F2BA3A" w14:textId="77777777" w:rsidTr="00467DF0">
        <w:trPr>
          <w:jc w:val="center"/>
        </w:trPr>
        <w:tc>
          <w:tcPr>
            <w:tcW w:w="1552" w:type="dxa"/>
            <w:vAlign w:val="center"/>
          </w:tcPr>
          <w:p w14:paraId="537DDB6C" w14:textId="77777777" w:rsidR="004B6318" w:rsidRDefault="004C6841">
            <w:pPr>
              <w:rPr>
                <w:szCs w:val="28"/>
              </w:rPr>
            </w:pPr>
            <w:r>
              <w:rPr>
                <w:rFonts w:eastAsia="Times New Roman"/>
                <w:szCs w:val="28"/>
              </w:rPr>
              <w:t>Điều 1 và Điều 3: Phạm vi áp dụng, thuật ngữ và định nghĩa</w:t>
            </w:r>
          </w:p>
        </w:tc>
        <w:tc>
          <w:tcPr>
            <w:tcW w:w="7512" w:type="dxa"/>
          </w:tcPr>
          <w:p w14:paraId="1E57AF74" w14:textId="77777777" w:rsidR="004B6318" w:rsidRDefault="004C6841">
            <w:pPr>
              <w:jc w:val="both"/>
              <w:rPr>
                <w:szCs w:val="28"/>
              </w:rPr>
            </w:pPr>
            <w:r>
              <w:rPr>
                <w:rFonts w:eastAsia="Times New Roman"/>
                <w:szCs w:val="28"/>
              </w:rPr>
              <w:t>Xác lập đây là tiêu chuẩn sản phẩm đối với thiết bị định lượng chất tạo bọt của hệ thống chữa cháy bằng bọt cố định; không điều chỉnh nghiệm thu hệ thống hoặc xác nhận thiết bị sau lắp đặt. Chuẩn hóa các thuật ngữ tỷ lệ định lượng, tỷ lệ định lượng danh định, thiết bị định lượng, chất tạo bọt Newton/giả dẻo, lưu lượng thể tích trung gian, thử kiểu và kiểm tra xuất xưởng.</w:t>
            </w:r>
          </w:p>
        </w:tc>
      </w:tr>
      <w:tr w:rsidR="004B6318" w14:paraId="0BED9657" w14:textId="77777777" w:rsidTr="00467DF0">
        <w:trPr>
          <w:jc w:val="center"/>
        </w:trPr>
        <w:tc>
          <w:tcPr>
            <w:tcW w:w="1552" w:type="dxa"/>
            <w:vAlign w:val="center"/>
          </w:tcPr>
          <w:p w14:paraId="0EDF08AF" w14:textId="77777777" w:rsidR="004B6318" w:rsidRDefault="004C6841">
            <w:pPr>
              <w:rPr>
                <w:szCs w:val="28"/>
              </w:rPr>
            </w:pPr>
            <w:r>
              <w:rPr>
                <w:rFonts w:eastAsia="Times New Roman"/>
                <w:szCs w:val="28"/>
              </w:rPr>
              <w:t>Điều 2: Tài liệu viện dẫn</w:t>
            </w:r>
          </w:p>
        </w:tc>
        <w:tc>
          <w:tcPr>
            <w:tcW w:w="7512" w:type="dxa"/>
          </w:tcPr>
          <w:p w14:paraId="1D5CCB3D" w14:textId="77777777" w:rsidR="004B6318" w:rsidRDefault="004C6841">
            <w:pPr>
              <w:jc w:val="both"/>
              <w:rPr>
                <w:szCs w:val="28"/>
              </w:rPr>
            </w:pPr>
            <w:r>
              <w:rPr>
                <w:rFonts w:eastAsia="Times New Roman"/>
                <w:szCs w:val="28"/>
              </w:rPr>
              <w:t xml:space="preserve">Giữ đúng 13 tài liệu viện dẫn gồm 11 TCVN và hai ISO: TCVN 1916:1995; TCVN 4501-1:2014; TCVN 4501-2:2014; TCVN 7278-1:2024; TCVN 7701-1:2011; TCVN 8887-1:2011; TCVN 9847:2013; TCVN 10865-1:2015; TCVN 11700-1:2016; TCVN </w:t>
            </w:r>
            <w:r>
              <w:rPr>
                <w:rFonts w:eastAsia="Times New Roman"/>
                <w:szCs w:val="28"/>
              </w:rPr>
              <w:lastRenderedPageBreak/>
              <w:t>11994-2:2017; TCVN 12640:2021; ISO 179-1:2023 và ISO 4633:2023. Mọi tài liệu đều được viện dẫn trong phần quy định; không bổ sung ISO khi yêu cầu đã được chuyển hóa bằng TCVN hoặc yêu cầu tính năng trực tiếp.</w:t>
            </w:r>
          </w:p>
        </w:tc>
      </w:tr>
      <w:tr w:rsidR="004B6318" w14:paraId="6EA843F8" w14:textId="77777777" w:rsidTr="00467DF0">
        <w:trPr>
          <w:jc w:val="center"/>
        </w:trPr>
        <w:tc>
          <w:tcPr>
            <w:tcW w:w="1552" w:type="dxa"/>
            <w:vAlign w:val="center"/>
          </w:tcPr>
          <w:p w14:paraId="34AD3D68" w14:textId="77777777" w:rsidR="004B6318" w:rsidRDefault="004C6841">
            <w:pPr>
              <w:rPr>
                <w:szCs w:val="28"/>
              </w:rPr>
            </w:pPr>
            <w:r>
              <w:rPr>
                <w:rFonts w:eastAsia="Times New Roman"/>
                <w:szCs w:val="28"/>
              </w:rPr>
              <w:t>Điều 4.1 và Điều 5.3: Yêu cầu đặc tính kỹ thuật và phép thử cốt lõi</w:t>
            </w:r>
          </w:p>
        </w:tc>
        <w:tc>
          <w:tcPr>
            <w:tcW w:w="7512" w:type="dxa"/>
          </w:tcPr>
          <w:p w14:paraId="7519824A" w14:textId="77777777" w:rsidR="004B6318" w:rsidRDefault="004C6841">
            <w:pPr>
              <w:jc w:val="both"/>
              <w:rPr>
                <w:szCs w:val="28"/>
              </w:rPr>
            </w:pPr>
            <w:r>
              <w:rPr>
                <w:rFonts w:eastAsia="Times New Roman"/>
                <w:szCs w:val="28"/>
              </w:rPr>
              <w:t>Quy định và kiểm chứng tỷ lệ định lượng trong toàn bộ dải lưu lượng, tổn thất áp suất so với dữ liệu công bố, độ bền chịu áp ở bốn lần áp suất làm việc lớn nhất trong 5 min, độ kín ở 1,5 lần áp suất làm việc lớn nhất trong 5 min, độ tin cậy sau 5 000 chu kỳ và khả năng chịu lưu lượng nước bằng 150 % lưu lượng lớn nhất. Phép thử tỷ lệ dùng chất tạo bọt thực tế; phép thử tổn thất áp suất dùng nước, ít nhất năm mức lưu lượng và vị trí đo cách cửa thiết bị ít nhất 10 lần đường kính ống.</w:t>
            </w:r>
          </w:p>
        </w:tc>
      </w:tr>
      <w:tr w:rsidR="004B6318" w14:paraId="1ACA0D6B" w14:textId="77777777" w:rsidTr="00467DF0">
        <w:trPr>
          <w:jc w:val="center"/>
        </w:trPr>
        <w:tc>
          <w:tcPr>
            <w:tcW w:w="1552" w:type="dxa"/>
            <w:vAlign w:val="center"/>
          </w:tcPr>
          <w:p w14:paraId="4844814C" w14:textId="77777777" w:rsidR="004B6318" w:rsidRDefault="004C6841">
            <w:pPr>
              <w:rPr>
                <w:szCs w:val="28"/>
              </w:rPr>
            </w:pPr>
            <w:r>
              <w:rPr>
                <w:rFonts w:eastAsia="Times New Roman"/>
                <w:szCs w:val="28"/>
              </w:rPr>
              <w:t>Điều 4.2: Kết cấu, mối nối và khả năng bảo dưỡng</w:t>
            </w:r>
          </w:p>
        </w:tc>
        <w:tc>
          <w:tcPr>
            <w:tcW w:w="7512" w:type="dxa"/>
          </w:tcPr>
          <w:p w14:paraId="0721125C" w14:textId="77777777" w:rsidR="004B6318" w:rsidRDefault="004C6841">
            <w:pPr>
              <w:jc w:val="both"/>
              <w:rPr>
                <w:szCs w:val="28"/>
              </w:rPr>
            </w:pPr>
            <w:r>
              <w:rPr>
                <w:rFonts w:eastAsia="Times New Roman"/>
                <w:szCs w:val="28"/>
              </w:rPr>
              <w:t>Ưu tiên TCVN cho ren ống, mặt bích và chi tiết lắp xiết; cho phép hệ mối nối khác khi có tài liệu kỹ thuật và chứng minh khả năng chịu áp, độ kín, tương thích. Tải kéo tính toán của chi tiết lắp xiết tại bốn lần áp suất làm việc lớn nhất không được vượt quá khả năng chịu tải tối thiểu. Chi tiết tháo trong bảo dưỡng phải có khả năng tiếp cận và cơ cấu định vị ngăn lắp sai.</w:t>
            </w:r>
          </w:p>
        </w:tc>
      </w:tr>
      <w:tr w:rsidR="004B6318" w14:paraId="48044FBC" w14:textId="77777777" w:rsidTr="00467DF0">
        <w:trPr>
          <w:jc w:val="center"/>
        </w:trPr>
        <w:tc>
          <w:tcPr>
            <w:tcW w:w="1552" w:type="dxa"/>
            <w:vAlign w:val="center"/>
          </w:tcPr>
          <w:p w14:paraId="54718BF9" w14:textId="77777777" w:rsidR="004B6318" w:rsidRDefault="004C6841">
            <w:pPr>
              <w:rPr>
                <w:szCs w:val="28"/>
              </w:rPr>
            </w:pPr>
            <w:r>
              <w:rPr>
                <w:rFonts w:eastAsia="Times New Roman"/>
                <w:szCs w:val="28"/>
              </w:rPr>
              <w:t>Điều 4.3, Điều 4.4 và Điều 5.4: Vật liệu, chống ăn mòn và phép thử có điều kiện</w:t>
            </w:r>
          </w:p>
        </w:tc>
        <w:tc>
          <w:tcPr>
            <w:tcW w:w="7512" w:type="dxa"/>
          </w:tcPr>
          <w:p w14:paraId="2313C1F3" w14:textId="64FF6AAE" w:rsidR="004B6318" w:rsidRDefault="004C6841">
            <w:pPr>
              <w:jc w:val="both"/>
              <w:rPr>
                <w:szCs w:val="28"/>
              </w:rPr>
            </w:pPr>
            <w:r>
              <w:rPr>
                <w:rFonts w:eastAsia="Times New Roman"/>
                <w:szCs w:val="28"/>
              </w:rPr>
              <w:t>Quy định vật liệu kim loại, gioăng elastome loại WA hoặc WC, bằng chứng tương thích với chất tạo bọt và lớp phủ bề mặt. Các phép thử phun mù muối, ánh sáng - nước, lão hóa, phơi nhiễm chất lỏng và ăn mòn ứng suất amoniac chỉ áp dụng trong thử kiểu khi cấu tạo, vật liệu hoặc môi trường sử dụng thuộc trường hợp tương ứng; có tiêu chí chấp nhận riêng, mẫu đối chứng, kiểm tra 25 lần và cảnh báo an toàn.</w:t>
            </w:r>
          </w:p>
        </w:tc>
      </w:tr>
      <w:tr w:rsidR="004B6318" w14:paraId="20B3E226" w14:textId="77777777" w:rsidTr="00467DF0">
        <w:trPr>
          <w:jc w:val="center"/>
        </w:trPr>
        <w:tc>
          <w:tcPr>
            <w:tcW w:w="1552" w:type="dxa"/>
            <w:vAlign w:val="center"/>
          </w:tcPr>
          <w:p w14:paraId="6873AB92" w14:textId="77777777" w:rsidR="004B6318" w:rsidRDefault="004C6841">
            <w:pPr>
              <w:rPr>
                <w:szCs w:val="28"/>
              </w:rPr>
            </w:pPr>
            <w:r>
              <w:rPr>
                <w:rFonts w:eastAsia="Times New Roman"/>
                <w:szCs w:val="28"/>
              </w:rPr>
              <w:t>Điều 5.1 và Điều 5.2: Lấy mẫu, điều kiện thử và đo lường</w:t>
            </w:r>
          </w:p>
        </w:tc>
        <w:tc>
          <w:tcPr>
            <w:tcW w:w="7512" w:type="dxa"/>
          </w:tcPr>
          <w:p w14:paraId="3889FCCC" w14:textId="77777777" w:rsidR="004B6318" w:rsidRDefault="004C6841">
            <w:pPr>
              <w:jc w:val="both"/>
              <w:rPr>
                <w:szCs w:val="28"/>
              </w:rPr>
            </w:pPr>
            <w:r>
              <w:rPr>
                <w:rFonts w:eastAsia="Times New Roman"/>
                <w:szCs w:val="28"/>
              </w:rPr>
              <w:t>Phân biệt mẫu thiết bị hoàn chỉnh, mẫu cụm chi tiết và mẫu vật liệu; dùng ít nhất một thiết bị đại diện, năm mẫu phơi nhiễm và năm mẫu đối chứng khi áp dụng. Quy định nhiệt độ thử mặc định (20 ± 10) °C, hiệu chuẩn hoặc kiểm định, liên kết chuẩn, dung sai theo trị số đo, độ không đảm bảo đo mở rộng và quy tắc bảo vệ khi kết quả nằm sát giới hạn chấp nhận. Kiểm tra xuất xưởng được thực hiện theo kế hoạch kiểm soát chất lượng, không thay thế thử kiểu.</w:t>
            </w:r>
          </w:p>
        </w:tc>
      </w:tr>
      <w:tr w:rsidR="004B6318" w14:paraId="14F0C058" w14:textId="77777777" w:rsidTr="00467DF0">
        <w:trPr>
          <w:jc w:val="center"/>
        </w:trPr>
        <w:tc>
          <w:tcPr>
            <w:tcW w:w="1552" w:type="dxa"/>
            <w:vAlign w:val="center"/>
          </w:tcPr>
          <w:p w14:paraId="2FF77C96" w14:textId="77777777" w:rsidR="004B6318" w:rsidRDefault="004C6841">
            <w:pPr>
              <w:rPr>
                <w:szCs w:val="28"/>
              </w:rPr>
            </w:pPr>
            <w:r>
              <w:rPr>
                <w:rFonts w:eastAsia="Times New Roman"/>
                <w:szCs w:val="28"/>
              </w:rPr>
              <w:t>Điều 6.1: Ghi nhãn và truy xuất</w:t>
            </w:r>
          </w:p>
        </w:tc>
        <w:tc>
          <w:tcPr>
            <w:tcW w:w="7512" w:type="dxa"/>
          </w:tcPr>
          <w:p w14:paraId="4473437C" w14:textId="77777777" w:rsidR="004B6318" w:rsidRDefault="004C6841">
            <w:pPr>
              <w:jc w:val="both"/>
              <w:rPr>
                <w:szCs w:val="28"/>
              </w:rPr>
            </w:pPr>
            <w:r>
              <w:rPr>
                <w:rFonts w:eastAsia="Times New Roman"/>
                <w:szCs w:val="28"/>
              </w:rPr>
              <w:t>Nhãn phải gắn chắc chắn, bền và dễ đọc trong điều kiện sử dụng dự kiến; ghi tối thiểu nhà sản xuất, tên sản phẩm, kiểu, áp suất làm việc, hướng dòng chảy, tỷ lệ định lượng, ngày sản xuất, số sêri/số lô hoặc mã truy xuất và loại chất tạo bọt tương thích. Độ bền nhãn được kiểm tra trước và sau phép thử môi trường áp dụng bằng tiêu chí không tách và còn đọc, nhận dạng được.</w:t>
            </w:r>
          </w:p>
        </w:tc>
      </w:tr>
      <w:tr w:rsidR="004B6318" w14:paraId="2384421B" w14:textId="77777777" w:rsidTr="00467DF0">
        <w:trPr>
          <w:jc w:val="center"/>
        </w:trPr>
        <w:tc>
          <w:tcPr>
            <w:tcW w:w="1552" w:type="dxa"/>
            <w:vAlign w:val="center"/>
          </w:tcPr>
          <w:p w14:paraId="730FB0B4" w14:textId="77777777" w:rsidR="004B6318" w:rsidRDefault="004C6841">
            <w:pPr>
              <w:rPr>
                <w:szCs w:val="28"/>
              </w:rPr>
            </w:pPr>
            <w:r>
              <w:rPr>
                <w:rFonts w:eastAsia="Times New Roman"/>
                <w:szCs w:val="28"/>
              </w:rPr>
              <w:lastRenderedPageBreak/>
              <w:t>Điều 6.2: Tài liệu kỹ thuật</w:t>
            </w:r>
          </w:p>
        </w:tc>
        <w:tc>
          <w:tcPr>
            <w:tcW w:w="7512" w:type="dxa"/>
          </w:tcPr>
          <w:p w14:paraId="3BFAE732" w14:textId="77777777" w:rsidR="004B6318" w:rsidRDefault="004C6841">
            <w:pPr>
              <w:jc w:val="both"/>
              <w:rPr>
                <w:szCs w:val="28"/>
              </w:rPr>
            </w:pPr>
            <w:r>
              <w:rPr>
                <w:rFonts w:eastAsia="Times New Roman"/>
                <w:szCs w:val="28"/>
              </w:rPr>
              <w:t>Yêu cầu tài liệu bằng tiếng Việt hoặc có bản dịch tiếng Việt, bao gồm bản vẽ, nguyên lý, dải áp suất và lưu lượng cho từng tỷ lệ, tổn thất áp suất, áp suất hút/cấp và áp suất ngược, loại chất tạo bọt, dải độ nhớt, nhiệt độ, tốc độ cắt, tư thế lắp, chiều dài đoạn ống thẳng, phương pháp hiệu chỉnh, kiểm tra, bảo dưỡng, báo cáo thử kiểu, kiểm tra xuất xưởng và thông tin duy trì khả năng truy xuất.</w:t>
            </w:r>
          </w:p>
        </w:tc>
      </w:tr>
    </w:tbl>
    <w:p w14:paraId="3F45C213" w14:textId="77777777" w:rsidR="004B6318" w:rsidRPr="00467DF0" w:rsidRDefault="004B6318">
      <w:pPr>
        <w:ind w:firstLine="720"/>
        <w:jc w:val="both"/>
        <w:rPr>
          <w:sz w:val="14"/>
          <w:szCs w:val="6"/>
          <w:lang w:val="en-US"/>
        </w:rPr>
      </w:pPr>
    </w:p>
    <w:p w14:paraId="008EFC7D" w14:textId="77777777" w:rsidR="004B6318" w:rsidRDefault="004C6841">
      <w:pPr>
        <w:ind w:firstLine="720"/>
        <w:jc w:val="both"/>
      </w:pPr>
      <w:r>
        <w:rPr>
          <w:b/>
          <w:bCs/>
        </w:rPr>
        <w:t>3. Quá trình xây dựng dự thảo TCVN</w:t>
      </w:r>
    </w:p>
    <w:p w14:paraId="5BDADAFF" w14:textId="77777777" w:rsidR="004B6318" w:rsidRDefault="004C6841">
      <w:pPr>
        <w:ind w:firstLine="720"/>
        <w:jc w:val="both"/>
        <w:rPr>
          <w:b/>
          <w:bCs/>
          <w:lang w:val="en-US"/>
        </w:rPr>
      </w:pPr>
      <w:r>
        <w:rPr>
          <w:b/>
          <w:bCs/>
        </w:rPr>
        <w:t>a) Đánh giá thực trạng</w:t>
      </w:r>
    </w:p>
    <w:p w14:paraId="2253ED0F" w14:textId="77777777" w:rsidR="004B6318" w:rsidRDefault="004C6841">
      <w:pPr>
        <w:ind w:firstLine="720"/>
        <w:jc w:val="both"/>
      </w:pPr>
      <w:r>
        <w:t>Căn cứ Hợp đồng thực hiện nhiệm vụ biên soạn Tiêu chuẩn quốc gia số 134/2025/HĐXDTCQGVN ngày 19/12/2025 và Công văn số 369/C07-TT ngày 04/02/2026, Ban biên soạn đã khảo sát từ ngày 02/3/2026 đến ngày 13/3/2026 đối với 90 phiếu tại các cơ sở có hệ thống chữa cháy bằng bọt cố định, gồm 80 phiếu tại Thành phố Hồ Chí Minh và 10 phiếu tại thành phố Hà Nội.</w:t>
      </w:r>
    </w:p>
    <w:p w14:paraId="08BA0E2D" w14:textId="77777777" w:rsidR="004B6318" w:rsidRDefault="004C6841">
      <w:pPr>
        <w:ind w:firstLine="720"/>
        <w:jc w:val="both"/>
      </w:pPr>
      <w:r>
        <w:t>Mẫu khảo sát tập trung vào kho xăng dầu, cảng biển - logistics, cơ sở hóa chất/hóa dầu, khu công nghiệp, sân bay và trạm điện. Bốn nhóm thiết bị chính cùng tồn tại gồm bình màng chiếm 42,2 %, Venturi hoặc ống hút trộn dòng chiếm 26,7 %, thiết bị áp suất cân bằng chiếm 20,0 % và thiết bị sử dụng bơm chiếm 11,1 %. Về tỷ lệ định lượng danh định, mức 3 % chiếm 62 %, mức 6 % chiếm 28 % và mức 1 % chiếm 10 %.</w:t>
      </w:r>
    </w:p>
    <w:p w14:paraId="64BE90E3" w14:textId="77777777" w:rsidR="004B6318" w:rsidRDefault="004C6841">
      <w:pPr>
        <w:ind w:firstLine="720"/>
        <w:jc w:val="both"/>
      </w:pPr>
      <w:r>
        <w:t>Các vấn đề nổi bật gồm: 57 % cơ sở không kiểm tra tỷ lệ định lượng định kỳ; 34 % trường hợp ghi nhận sai lệch tỷ lệ trộn lớn hơn ± 10 %; 61 % không có dữ liệu tổn thất áp suất; 49 % không rõ tiêu chuẩn thiết kế; 22 % có rò rỉ tại mối nối; 18 % có hiện tượng ăn mòn trong môi trường biển; 37 % nhãn mờ hoặc hư hỏng và 22 % không có nhãn. Kết quả này cho thấy khoảng trống chủ yếu nằm ở việc chứng minh hiệu năng, truy xuất dữ liệu kỹ thuật và quản lý trạng thái thiết bị.</w:t>
      </w:r>
    </w:p>
    <w:p w14:paraId="53D20511" w14:textId="02CBBDB5" w:rsidR="004B6318" w:rsidRDefault="004C6841">
      <w:pPr>
        <w:ind w:firstLine="720"/>
        <w:jc w:val="both"/>
        <w:rPr>
          <w:lang w:val="en-US"/>
        </w:rPr>
      </w:pPr>
      <w:r>
        <w:t>Khảo sát mới thực hiện tại hai địa bàn, chủ yếu dựa trên phiếu, quan sát và hồ sơ sẵn có; chưa đồng loạt kiểm chứng bằng một quy trình thử chuẩn hóa trong phòng thử nghiệm. Vì vậy, số liệu được sử dụng để nhận diện xu hướng, lựa chọn nhóm yêu cầu ưu tiên và chứng minh tính cần thiết của tiêu chuẩn, không được diễn giải thành kết luận tuyệt đối đại diện cho toàn bộ thiết bị trên phạm vi cả nước.</w:t>
      </w:r>
    </w:p>
    <w:p w14:paraId="2B483E3D" w14:textId="2431D29E" w:rsidR="004B6318" w:rsidRDefault="004C6841">
      <w:pPr>
        <w:ind w:firstLine="720"/>
        <w:jc w:val="both"/>
        <w:rPr>
          <w:b/>
          <w:bCs/>
          <w:lang w:val="en-US"/>
        </w:rPr>
      </w:pPr>
      <w:r>
        <w:rPr>
          <w:b/>
          <w:bCs/>
          <w:lang w:val="en-US"/>
        </w:rPr>
        <w:t>b) Thu thập, nghiên cứu tài liệu</w:t>
      </w:r>
    </w:p>
    <w:p w14:paraId="7F3BB4A0" w14:textId="1C65D9E8" w:rsidR="004B6318" w:rsidRDefault="004C6841">
      <w:pPr>
        <w:ind w:firstLine="720"/>
        <w:jc w:val="both"/>
        <w:rPr>
          <w:lang w:val="en-US"/>
        </w:rPr>
      </w:pPr>
      <w:r>
        <w:rPr>
          <w:lang w:val="en-US"/>
        </w:rPr>
        <w:t>Nền kỹ thuật chính của dự thảo là ISO 7076-1:2012, Fire protection - Foam fire extinguishing systems - Part 1: Foam proportioning equipment. Ban biên soạn không dịch nguyên trạng mà đối chiếu từng yêu cầu với kết quả khảo sát, năng lực thử nghiệm trong nước, ý kiến chuyên môn và quy tắc trình bày TCVN.</w:t>
      </w:r>
    </w:p>
    <w:p w14:paraId="308D6393" w14:textId="37861592" w:rsidR="004B6318" w:rsidRDefault="004C6841">
      <w:pPr>
        <w:ind w:firstLine="720"/>
        <w:jc w:val="both"/>
        <w:rPr>
          <w:lang w:val="en-US"/>
        </w:rPr>
      </w:pPr>
      <w:r>
        <w:rPr>
          <w:lang w:val="en-US"/>
        </w:rPr>
        <w:t xml:space="preserve">Điều 2 của bản hoàn thiện còn 13 tài liệu viện dẫn, gồm 11 TCVN và hai tiêu chuẩn ISO 179-1:2023, ISO 4633:2023. Các TCVN được ưu tiên cho cơ tính vật liệu, chất tạo bọt, ren ống, mặt bích, chi tiết lắp xiết, ngâm chất lỏng, phơi </w:t>
      </w:r>
      <w:r>
        <w:rPr>
          <w:lang w:val="en-US"/>
        </w:rPr>
        <w:lastRenderedPageBreak/>
        <w:t xml:space="preserve">nhiễm ánh sáng và nước, phun mù muối. </w:t>
      </w:r>
      <w:r w:rsidR="00467DF0">
        <w:rPr>
          <w:lang w:val="en-US"/>
        </w:rPr>
        <w:t>07</w:t>
      </w:r>
      <w:r>
        <w:rPr>
          <w:lang w:val="en-US"/>
        </w:rPr>
        <w:t xml:space="preserve"> tiêu chuẩn ISO về hình học, cấp bền, mối nối và mặt bích được lược bỏ sau khi yêu cầu tương ứng đã được chuyển hóa bằng TCVN và yêu cầu tính năng trực tiếp.</w:t>
      </w:r>
    </w:p>
    <w:p>
      <w:pPr>
        <w:pPr>
          <w:ind w:firstLine="720"/>
          <w:jc w:val="both"/>
          <w:rPr>
            <w:lang w:val="en-US"/>
          </w:rPr>
        </w:pPr>
      </w:pPr>
      <w:r>
        <w:rPr>
          <w:rPr>
            <w:lang w:val="en-US"/>
          </w:rPr>
        </w:rPr>
        <w:t>Đối với góp ý của V04 về chất tạo bọt không chứa fluorine (F3/SFFF), Ban biên soạn xác định đây là vấn đề về tính tương thích của môi chất với thiết bị định lượng, không làm thay đổi phạm vi của dự thảo. F3 không phải là một loại chất tạo bọt có một giá trị độ nhớt cố định; do đó yêu cầu được thể hiện theo dải độ nhớt, nhiệt độ và đặc tính lưu biến của từng loại chất tạo bọt. Dự thảo đã có yêu cầu thử bằng chất tạo bọt thực tế và công bố dải tương thích; bổ sung thêm chú thích và yêu cầu hồ sơ kỹ thuật để làm rõ trường hợp F3 hoặc chất có độ nhớt cao.</w:t>
      </w:r>
    </w:p>
    <w:p>
      <w:pPr>
        <w:pPr>
          <w:ind w:firstLine="720"/>
          <w:jc w:val="both"/>
          <w:rPr>
            <w:lang w:val="en-US"/>
          </w:rPr>
        </w:pPr>
      </w:pPr>
      <w:r>
        <w:rPr>
          <w:rPr>
            <w:lang w:val="en-US"/>
          </w:rPr>
        </w:rPr>
        <w:t>Về tài liệu liên quan, TCVN 7278-1:2024 là căn cứ trong nước trực tiếp cho chất tạo bọt độ nở thấp và có nội dung liên quan đến F3, chất Newton và chất giả dẻo. TCVN 7278-3:2025 chỉ cần xem xét khi thiết bị được công bố sử dụng với chất tạo bọt cho chất lỏng cháy hòa tan được với nước. TCVN 7336:2021 và TCVN 5307:2009 là các tiêu chuẩn thiết kế hệ thống hoặc công trình, không phải tiêu chuẩn sản phẩm của thiết bị định lượng, nên không đưa vào Điều 2. EN 13565-1, UL 162, FM 5130 và tài liệu NFPA được sử dụng ở mức tham khảo để đối chiếu thực tiễn quốc tế, không làm phát sinh yêu cầu viện dẫn bắt buộc hoặc nội dung chắp vá trong dự thảo.</w:t>
      </w:r>
    </w:p>
    <w:p w14:paraId="79B2A80A" w14:textId="1ECB9A56" w:rsidR="004B6318" w:rsidRDefault="004C6841">
      <w:pPr>
        <w:ind w:firstLine="720"/>
        <w:jc w:val="both"/>
        <w:rPr>
          <w:lang w:val="en-US"/>
        </w:rPr>
      </w:pPr>
      <w:r>
        <w:rPr>
          <w:lang w:val="en-US"/>
        </w:rPr>
        <w:t>Cách tiếp cận cuối cùng gồm ba nhóm: kế thừa bản chất kỹ thuật của các chỉ tiêu an toàn và hiệu năng cốt lõi; nội địa hóa kết cấu, vật liệu, thuật ngữ, đại lượng đo, ghi nhãn và tài liệu kỹ thuật; áp dụng có điều kiện trong thử kiểu đối với các phép thử lão hóa, phơi nhiễm chất lỏng, phun mù muối, ánh sáng - nước và ăn mòn ứng suất amoniac khi cấu tạo, vật liệu hoặc môi trường sử dụng thuộc trường hợp tương ứng.</w:t>
      </w:r>
    </w:p>
    <w:p w14:paraId="07C87862" w14:textId="2CC69C81" w:rsidR="004B6318" w:rsidRDefault="004C6841">
      <w:pPr>
        <w:ind w:firstLine="720"/>
        <w:jc w:val="both"/>
        <w:rPr>
          <w:b/>
          <w:bCs/>
          <w:lang w:val="en-US"/>
        </w:rPr>
      </w:pPr>
      <w:r>
        <w:rPr>
          <w:b/>
          <w:bCs/>
        </w:rPr>
        <w:t>c) Lấy ý kiến chuyên gia và Hội đồng khoa học</w:t>
      </w:r>
    </w:p>
    <w:p w14:paraId="1DC7F8C9" w14:textId="77777777" w:rsidR="004B6318" w:rsidRDefault="004C6841">
      <w:pPr>
        <w:ind w:firstLine="720"/>
        <w:jc w:val="both"/>
      </w:pPr>
      <w:r>
        <w:t>Ban biên soạn đã nghiên cứu bản đánh giá của Đại tá, ThS. Vũ Sơn Lâm và Thượng tá, ThS. Nguyễn Chí Dũng. Hai chuyên gia thống nhất về sự cần thiết xây dựng TCVN, đề nghị giữ nhóm yêu cầu cốt lõi, ưu tiên TCVN, nội địa hóa các yêu cầu phục vụ quản lý tại Việt Nam và không áp dụng đại trà các phép thử chuyên sâu, kéo dài hoặc chi phí cao.</w:t>
      </w:r>
    </w:p>
    <w:p w14:paraId="1B9FF344" w14:textId="77777777" w:rsidR="004B6318" w:rsidRDefault="004C6841">
      <w:pPr>
        <w:ind w:firstLine="720"/>
        <w:jc w:val="both"/>
      </w:pPr>
      <w:r>
        <w:t>Đại tá, ThS. Vũ Sơn Lâm đề xuất phân nhóm nội dung thành yêu cầu giữ nguyên bản chất kỹ thuật, yêu cầu cần nội địa hóa và yêu cầu chỉ áp dụng có điều kiện. Ý kiến về tỷ lệ định lượng, tổn thất áp suất, độ bền chịu áp, độ kín, độ tin cậy, lưu lượng nước lớn, kết cấu, vật liệu, chống ăn mòn, nhãn và hồ sơ kỹ thuật đã được phản ánh trong Điều 4 đến Điều 6 của bản hoàn thiện.</w:t>
      </w:r>
    </w:p>
    <w:p w14:paraId="29986DDC" w14:textId="62442CAD" w:rsidR="004B6318" w:rsidRDefault="004C6841">
      <w:pPr>
        <w:ind w:firstLine="720"/>
        <w:jc w:val="both"/>
        <w:rPr>
          <w:lang w:val="en-US"/>
        </w:rPr>
      </w:pPr>
      <w:r>
        <w:t>Thượng tá, ThS. Nguyễn Chí Dũng đề xuất xếp hạng ưu tiên A, B, C theo mức độ ảnh hưởng đến an toàn, khả năng kiểm chứng và tính khả thi. Dự thảo tiếp thu định hướng này bằng việc giữ các phép thử sản phẩm cốt lõi, phân tầng yêu cầu vật liệu và môi trường, tăng cường truy xuất; mục tiêu quản lý vòng đời được thể hiện qua nhãn, tài liệu kỹ thuật và hướng dẫn của nhà sản xuất, còn quy trình xác nhận thiết bị sau lắp đặt không thuộc phạm vi tiêu chuẩn sản phẩm.</w:t>
      </w:r>
    </w:p>
    <w:p w14:paraId="1C840CAC" w14:textId="6098363D" w:rsidR="004B6318" w:rsidRDefault="004C6841">
      <w:pPr>
        <w:ind w:firstLine="720"/>
        <w:jc w:val="both"/>
      </w:pPr>
      <w:r>
        <w:t>Dự thảo được lấy ý kiến thành viên Hội đồng khoa học C07. Các ý kiến cơ bản thống nhất về sự cần thiết và tập trung vào thể thức, thuật ngữ, dung sai đo, vị trí đo áp suất cách cửa thiết bị ít nhất 10 lần đường kính ống, cách dùng “phun mù muối”, điều kiện áp dụng phép thử vật liệu, tiêu chí có thể kiểm chứng, ghi nhãn và tài liệu kỹ thuật. Ban biên soạn đã rà soát, tiếp thu hoặc giải trình theo từng nội dung trong bảng tổng hợp của Hội đồng.</w:t>
      </w:r>
    </w:p>
    <w:p w14:paraId="46CBA691" w14:textId="482E5175" w:rsidR="004B6318" w:rsidRDefault="004C6841">
      <w:pPr>
        <w:spacing w:before="80"/>
        <w:ind w:firstLine="567"/>
        <w:rPr>
          <w:sz w:val="30"/>
          <w:szCs w:val="22"/>
        </w:rPr>
      </w:pPr>
      <w:r>
        <w:rPr>
          <w:rFonts w:eastAsia="Times New Roman"/>
          <w:b/>
          <w:szCs w:val="22"/>
        </w:rPr>
        <w:t>d) Kết luận về tính cần thiết và khả thi</w:t>
      </w:r>
    </w:p>
    <w:p w14:paraId="0DC1D4A8" w14:textId="77777777" w:rsidR="004B6318" w:rsidRDefault="004C6841">
      <w:pPr>
        <w:ind w:firstLine="567"/>
        <w:jc w:val="both"/>
        <w:rPr>
          <w:sz w:val="30"/>
          <w:szCs w:val="22"/>
        </w:rPr>
      </w:pPr>
      <w:r>
        <w:rPr>
          <w:rFonts w:eastAsia="Times New Roman"/>
          <w:szCs w:val="22"/>
        </w:rPr>
        <w:t>Việc xây dựng TCVN “Phòng cháy chữa cháy - Hệ thống chữa cháy bằng bọt - Phần 1: Thiết bị định lượng chất tạo bọt” là cần thiết, có cơ sở thực tiễn từ khảo sát, cơ sở khoa học từ tiêu chuẩn quốc tế và ý kiến chuyên môn, đồng thời đáp ứng nhu cầu thống nhất yêu cầu chất lượng đối với nhóm thiết bị có ảnh hưởng trực tiếp đến hiệu quả của hệ thống chữa cháy bằng bọt.</w:t>
      </w:r>
    </w:p>
    <w:p w14:paraId="1CD3253D" w14:textId="7E15C855" w:rsidR="004B6318" w:rsidRDefault="004C6841" w:rsidP="00E31C32">
      <w:pPr>
        <w:ind w:firstLine="567"/>
        <w:jc w:val="both"/>
        <w:rPr>
          <w:lang w:val="en-US"/>
        </w:rPr>
      </w:pPr>
      <w:r>
        <w:rPr>
          <w:rFonts w:eastAsia="Times New Roman"/>
          <w:szCs w:val="22"/>
        </w:rPr>
        <w:t>Dự thảo cuối cùng tập trung vào yêu cầu sản phẩm và phương pháp thử có thể kiểm chứng; giữ các mức an toàn cốt lõi, áp dụng có điều kiện đối với phép thử chuyên sâu, ưu tiên tiêu chuẩn quốc gia và yêu cầu nhà sản xuất cung cấp đầy đủ dữ liệu kỹ thuật. Với phạm vi này, dự thảo có tính khả thi trong điều kiện Việt Nam và đã được hoàn thiện để trình Bộ Khoa học và Công nghệ thẩm định theo quy trình xây dựng tiêu chuẩn quốc gia</w:t>
      </w:r>
      <w:r w:rsidR="00E31C32">
        <w:rPr>
          <w:rFonts w:eastAsia="Times New Roman"/>
          <w:szCs w:val="22"/>
          <w:lang w:val="en-US"/>
        </w:rPr>
        <w:t>.</w:t>
      </w:r>
    </w:p>
    <w:sectPr w:rsidR="004B6318">
      <w:headerReference w:type="default" r:id="rId7"/>
      <w:pgSz w:w="11906" w:h="16838"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DD13C" w14:textId="77777777" w:rsidR="00A90C40" w:rsidRDefault="00A90C40">
      <w:r>
        <w:separator/>
      </w:r>
    </w:p>
  </w:endnote>
  <w:endnote w:type="continuationSeparator" w:id="0">
    <w:p w14:paraId="3E948371" w14:textId="77777777" w:rsidR="00A90C40" w:rsidRDefault="00A90C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733C4" w14:textId="77777777" w:rsidR="00A90C40" w:rsidRDefault="00A90C40">
      <w:r>
        <w:separator/>
      </w:r>
    </w:p>
  </w:footnote>
  <w:footnote w:type="continuationSeparator" w:id="0">
    <w:p w14:paraId="14CE0AF5" w14:textId="77777777" w:rsidR="00A90C40" w:rsidRDefault="00A90C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5862586"/>
      <w:docPartObj>
        <w:docPartGallery w:val="Page Numbers (Top of Page)"/>
        <w:docPartUnique/>
      </w:docPartObj>
    </w:sdtPr>
    <w:sdtEndPr>
      <w:rPr>
        <w:noProof/>
      </w:rPr>
    </w:sdtEndPr>
    <w:sdtContent>
      <w:p w14:paraId="1C5DCF8B" w14:textId="58357998" w:rsidR="004B6318" w:rsidRDefault="004C6841">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740C2F9" w14:textId="77777777" w:rsidR="004B6318" w:rsidRDefault="004B63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766E4"/>
    <w:multiLevelType w:val="multilevel"/>
    <w:tmpl w:val="13A62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716A23"/>
    <w:multiLevelType w:val="multilevel"/>
    <w:tmpl w:val="0748C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0C1D14"/>
    <w:multiLevelType w:val="multilevel"/>
    <w:tmpl w:val="63307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1275B9"/>
    <w:multiLevelType w:val="multilevel"/>
    <w:tmpl w:val="21366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2B31DC"/>
    <w:multiLevelType w:val="multilevel"/>
    <w:tmpl w:val="281AB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36667F"/>
    <w:multiLevelType w:val="multilevel"/>
    <w:tmpl w:val="E4206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B6F1B52"/>
    <w:multiLevelType w:val="multilevel"/>
    <w:tmpl w:val="A3548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8832945">
    <w:abstractNumId w:val="6"/>
  </w:num>
  <w:num w:numId="2" w16cid:durableId="128400439">
    <w:abstractNumId w:val="3"/>
  </w:num>
  <w:num w:numId="3" w16cid:durableId="2040665384">
    <w:abstractNumId w:val="1"/>
  </w:num>
  <w:num w:numId="4" w16cid:durableId="194081706">
    <w:abstractNumId w:val="4"/>
  </w:num>
  <w:num w:numId="5" w16cid:durableId="578295627">
    <w:abstractNumId w:val="5"/>
  </w:num>
  <w:num w:numId="6" w16cid:durableId="848639359">
    <w:abstractNumId w:val="2"/>
  </w:num>
  <w:num w:numId="7" w16cid:durableId="19045627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SortMethod w:val="00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FFD"/>
    <w:rsid w:val="0001163B"/>
    <w:rsid w:val="0004021A"/>
    <w:rsid w:val="000B639E"/>
    <w:rsid w:val="00112A21"/>
    <w:rsid w:val="00146EED"/>
    <w:rsid w:val="00150AF8"/>
    <w:rsid w:val="001B2902"/>
    <w:rsid w:val="001B380A"/>
    <w:rsid w:val="001B638F"/>
    <w:rsid w:val="001C5DCA"/>
    <w:rsid w:val="001D0A53"/>
    <w:rsid w:val="001D6E7C"/>
    <w:rsid w:val="001F2928"/>
    <w:rsid w:val="00223DAA"/>
    <w:rsid w:val="00255EF2"/>
    <w:rsid w:val="00312A2B"/>
    <w:rsid w:val="00355D22"/>
    <w:rsid w:val="00377383"/>
    <w:rsid w:val="003A0DEC"/>
    <w:rsid w:val="003F3DA7"/>
    <w:rsid w:val="00467DF0"/>
    <w:rsid w:val="004B6318"/>
    <w:rsid w:val="004C3388"/>
    <w:rsid w:val="004C6841"/>
    <w:rsid w:val="004D69C0"/>
    <w:rsid w:val="00534EF2"/>
    <w:rsid w:val="00541835"/>
    <w:rsid w:val="0054231C"/>
    <w:rsid w:val="0055529B"/>
    <w:rsid w:val="00624813"/>
    <w:rsid w:val="00685DA7"/>
    <w:rsid w:val="006E00C3"/>
    <w:rsid w:val="006E5A70"/>
    <w:rsid w:val="0074488C"/>
    <w:rsid w:val="007B5B89"/>
    <w:rsid w:val="00890E78"/>
    <w:rsid w:val="008F6890"/>
    <w:rsid w:val="009031B8"/>
    <w:rsid w:val="009473FF"/>
    <w:rsid w:val="00957F90"/>
    <w:rsid w:val="00A17222"/>
    <w:rsid w:val="00A511AE"/>
    <w:rsid w:val="00A74E00"/>
    <w:rsid w:val="00A90C40"/>
    <w:rsid w:val="00A95B22"/>
    <w:rsid w:val="00AB65E5"/>
    <w:rsid w:val="00B83511"/>
    <w:rsid w:val="00BB3571"/>
    <w:rsid w:val="00BC3886"/>
    <w:rsid w:val="00BD6F8B"/>
    <w:rsid w:val="00C1018B"/>
    <w:rsid w:val="00C41A34"/>
    <w:rsid w:val="00CB6FFD"/>
    <w:rsid w:val="00CE7A8C"/>
    <w:rsid w:val="00D548AC"/>
    <w:rsid w:val="00D90B25"/>
    <w:rsid w:val="00DD07F9"/>
    <w:rsid w:val="00DF25B9"/>
    <w:rsid w:val="00E31C32"/>
    <w:rsid w:val="00E5181F"/>
    <w:rsid w:val="00EC3933"/>
    <w:rsid w:val="00ED629B"/>
    <w:rsid w:val="00ED768A"/>
    <w:rsid w:val="00F24AF2"/>
    <w:rsid w:val="00F412F1"/>
    <w:rsid w:val="00F55620"/>
    <w:rsid w:val="00F57EA1"/>
    <w:rsid w:val="00FA2BE2"/>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78412"/>
  <w15:chartTrackingRefBased/>
  <w15:docId w15:val="{EA2C8C40-00C4-421B-8E14-99E92BE22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8"/>
        <w:lang w:val="vi-V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7F90"/>
  </w:style>
  <w:style w:type="paragraph" w:styleId="Heading1">
    <w:name w:val="heading 1"/>
    <w:basedOn w:val="Normal"/>
    <w:next w:val="Normal"/>
    <w:link w:val="Heading1Char"/>
    <w:autoRedefine/>
    <w:uiPriority w:val="99"/>
    <w:qFormat/>
    <w:rsid w:val="00ED768A"/>
    <w:pPr>
      <w:keepNext/>
      <w:widowControl w:val="0"/>
      <w:contextualSpacing/>
      <w:outlineLvl w:val="0"/>
    </w:pPr>
    <w:rPr>
      <w:rFonts w:asciiTheme="majorHAnsi" w:eastAsiaTheme="majorEastAsia" w:hAnsiTheme="majorHAnsi" w:cstheme="majorBidi"/>
      <w:b/>
      <w:kern w:val="32"/>
      <w:sz w:val="24"/>
      <w:szCs w:val="32"/>
    </w:rPr>
  </w:style>
  <w:style w:type="paragraph" w:styleId="Heading2">
    <w:name w:val="heading 2"/>
    <w:basedOn w:val="Normal"/>
    <w:next w:val="Normal"/>
    <w:link w:val="Heading2Char"/>
    <w:uiPriority w:val="99"/>
    <w:unhideWhenUsed/>
    <w:qFormat/>
    <w:rsid w:val="00DD07F9"/>
    <w:pPr>
      <w:keepNext/>
      <w:spacing w:before="120" w:after="60"/>
      <w:outlineLvl w:val="1"/>
    </w:pPr>
    <w:rPr>
      <w:b/>
      <w:bCs/>
      <w:iCs/>
      <w:sz w:val="24"/>
      <w:szCs w:val="28"/>
    </w:rPr>
  </w:style>
  <w:style w:type="paragraph" w:styleId="Heading3">
    <w:name w:val="heading 3"/>
    <w:basedOn w:val="Normal"/>
    <w:next w:val="Normal"/>
    <w:link w:val="Heading3Char"/>
    <w:uiPriority w:val="9"/>
    <w:semiHidden/>
    <w:unhideWhenUsed/>
    <w:qFormat/>
    <w:rsid w:val="00CB6FFD"/>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CB6FF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B6FF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B6FF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B6FF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B6FF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B6FF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ED768A"/>
    <w:rPr>
      <w:rFonts w:asciiTheme="majorHAnsi" w:eastAsiaTheme="majorEastAsia" w:hAnsiTheme="majorHAnsi" w:cstheme="majorBidi"/>
      <w:b/>
      <w:kern w:val="32"/>
      <w:sz w:val="24"/>
      <w:szCs w:val="32"/>
    </w:rPr>
  </w:style>
  <w:style w:type="character" w:customStyle="1" w:styleId="Heading2Char">
    <w:name w:val="Heading 2 Char"/>
    <w:link w:val="Heading2"/>
    <w:uiPriority w:val="99"/>
    <w:rsid w:val="00DD07F9"/>
    <w:rPr>
      <w:b/>
      <w:bCs/>
      <w:iCs/>
      <w:sz w:val="24"/>
      <w:szCs w:val="28"/>
    </w:rPr>
  </w:style>
  <w:style w:type="character" w:customStyle="1" w:styleId="Heading3Char">
    <w:name w:val="Heading 3 Char"/>
    <w:basedOn w:val="DefaultParagraphFont"/>
    <w:link w:val="Heading3"/>
    <w:uiPriority w:val="9"/>
    <w:semiHidden/>
    <w:rsid w:val="00CB6FFD"/>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CB6FF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B6FF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B6FF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B6FF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B6FF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B6FF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B6FF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6F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6FFD"/>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CB6FFD"/>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CB6FF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B6FFD"/>
    <w:rPr>
      <w:i/>
      <w:iCs/>
      <w:color w:val="404040" w:themeColor="text1" w:themeTint="BF"/>
    </w:rPr>
  </w:style>
  <w:style w:type="paragraph" w:styleId="ListParagraph">
    <w:name w:val="List Paragraph"/>
    <w:basedOn w:val="Normal"/>
    <w:uiPriority w:val="34"/>
    <w:qFormat/>
    <w:rsid w:val="00CB6FFD"/>
    <w:pPr>
      <w:ind w:left="720"/>
      <w:contextualSpacing/>
    </w:pPr>
  </w:style>
  <w:style w:type="character" w:styleId="IntenseEmphasis">
    <w:name w:val="Intense Emphasis"/>
    <w:basedOn w:val="DefaultParagraphFont"/>
    <w:uiPriority w:val="21"/>
    <w:qFormat/>
    <w:rsid w:val="00CB6FFD"/>
    <w:rPr>
      <w:i/>
      <w:iCs/>
      <w:color w:val="0F4761" w:themeColor="accent1" w:themeShade="BF"/>
    </w:rPr>
  </w:style>
  <w:style w:type="paragraph" w:styleId="IntenseQuote">
    <w:name w:val="Intense Quote"/>
    <w:basedOn w:val="Normal"/>
    <w:next w:val="Normal"/>
    <w:link w:val="IntenseQuoteChar"/>
    <w:uiPriority w:val="30"/>
    <w:qFormat/>
    <w:rsid w:val="00CB6F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6FFD"/>
    <w:rPr>
      <w:i/>
      <w:iCs/>
      <w:color w:val="0F4761" w:themeColor="accent1" w:themeShade="BF"/>
    </w:rPr>
  </w:style>
  <w:style w:type="character" w:styleId="IntenseReference">
    <w:name w:val="Intense Reference"/>
    <w:basedOn w:val="DefaultParagraphFont"/>
    <w:uiPriority w:val="32"/>
    <w:qFormat/>
    <w:rsid w:val="00CB6FFD"/>
    <w:rPr>
      <w:b/>
      <w:bCs/>
      <w:smallCaps/>
      <w:color w:val="0F4761" w:themeColor="accent1" w:themeShade="BF"/>
      <w:spacing w:val="5"/>
    </w:rPr>
  </w:style>
  <w:style w:type="paragraph" w:styleId="Header">
    <w:name w:val="header"/>
    <w:basedOn w:val="Normal"/>
    <w:link w:val="HeaderChar"/>
    <w:uiPriority w:val="99"/>
    <w:unhideWhenUsed/>
    <w:rsid w:val="00D90B25"/>
    <w:pPr>
      <w:tabs>
        <w:tab w:val="center" w:pos="4513"/>
        <w:tab w:val="right" w:pos="9026"/>
      </w:tabs>
    </w:pPr>
  </w:style>
  <w:style w:type="character" w:customStyle="1" w:styleId="HeaderChar">
    <w:name w:val="Header Char"/>
    <w:basedOn w:val="DefaultParagraphFont"/>
    <w:link w:val="Header"/>
    <w:uiPriority w:val="99"/>
    <w:rsid w:val="00D90B25"/>
  </w:style>
  <w:style w:type="paragraph" w:styleId="Footer">
    <w:name w:val="footer"/>
    <w:basedOn w:val="Normal"/>
    <w:link w:val="FooterChar"/>
    <w:uiPriority w:val="99"/>
    <w:unhideWhenUsed/>
    <w:rsid w:val="00D90B25"/>
    <w:pPr>
      <w:tabs>
        <w:tab w:val="center" w:pos="4513"/>
        <w:tab w:val="right" w:pos="9026"/>
      </w:tabs>
    </w:pPr>
  </w:style>
  <w:style w:type="character" w:customStyle="1" w:styleId="FooterChar">
    <w:name w:val="Footer Char"/>
    <w:basedOn w:val="DefaultParagraphFont"/>
    <w:link w:val="Footer"/>
    <w:uiPriority w:val="99"/>
    <w:rsid w:val="00D90B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76</TotalTime>
  <Pages>4</Pages>
  <Words>1604</Words>
  <Characters>9147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Hai Anh Bui</cp:lastModifiedBy>
  <cp:revision>35</cp:revision>
  <cp:lastPrinted>2026-06-07T11:46:00Z</cp:lastPrinted>
  <dcterms:created xsi:type="dcterms:W3CDTF">2026-06-06T17:29:00Z</dcterms:created>
  <dcterms:modified xsi:type="dcterms:W3CDTF">2026-08-06T07:15:00Z</dcterms:modified>
</cp:coreProperties>
</file>